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
        <w:jc w:val="center"/>
        <w:rPr>
          <w:rFonts w:ascii="方正小标宋简体" w:eastAsia="方正小标宋简体"/>
          <w:b w:val="0"/>
          <w:bCs w:val="0"/>
          <w:color w:val="000000" w:themeColor="text1"/>
          <w:sz w:val="44"/>
          <w:szCs w:val="44"/>
          <w14:textFill>
            <w14:solidFill>
              <w14:schemeClr w14:val="tx1"/>
            </w14:solidFill>
          </w14:textFill>
        </w:rPr>
      </w:pPr>
      <w:r>
        <w:rPr>
          <w:rFonts w:hint="eastAsia" w:ascii="方正小标宋简体" w:hAnsi="Times New Roman" w:eastAsia="方正小标宋简体"/>
          <w:b w:val="0"/>
          <w:bCs w:val="0"/>
          <w:color w:val="000000" w:themeColor="text1"/>
          <w:sz w:val="44"/>
          <w:szCs w:val="44"/>
          <w14:textFill>
            <w14:solidFill>
              <w14:schemeClr w14:val="tx1"/>
            </w14:solidFill>
          </w14:textFill>
        </w:rPr>
        <w:t>安徽省住房和城乡建设系统行政处罚裁量权基准</w:t>
      </w:r>
      <w:r>
        <w:rPr>
          <w:rFonts w:hint="eastAsia" w:ascii="方正小标宋简体" w:eastAsia="方正小标宋简体"/>
          <w:b w:val="0"/>
          <w:bCs w:val="0"/>
          <w:color w:val="000000" w:themeColor="text1"/>
          <w:sz w:val="44"/>
          <w:szCs w:val="44"/>
          <w14:textFill>
            <w14:solidFill>
              <w14:schemeClr w14:val="tx1"/>
            </w14:solidFill>
          </w14:textFill>
        </w:rPr>
        <w:t>（202</w:t>
      </w:r>
      <w:r>
        <w:rPr>
          <w:rFonts w:hint="eastAsia" w:ascii="方正小标宋简体" w:eastAsia="方正小标宋简体"/>
          <w:b w:val="0"/>
          <w:bCs w:val="0"/>
          <w:color w:val="000000" w:themeColor="text1"/>
          <w:sz w:val="44"/>
          <w:szCs w:val="44"/>
          <w:lang w:val="en-US" w:eastAsia="zh-CN"/>
          <w14:textFill>
            <w14:solidFill>
              <w14:schemeClr w14:val="tx1"/>
            </w14:solidFill>
          </w14:textFill>
        </w:rPr>
        <w:t>2</w:t>
      </w:r>
      <w:r>
        <w:rPr>
          <w:rFonts w:hint="eastAsia" w:ascii="方正小标宋简体" w:eastAsia="方正小标宋简体"/>
          <w:b w:val="0"/>
          <w:bCs w:val="0"/>
          <w:color w:val="000000" w:themeColor="text1"/>
          <w:sz w:val="44"/>
          <w:szCs w:val="44"/>
          <w14:textFill>
            <w14:solidFill>
              <w14:schemeClr w14:val="tx1"/>
            </w14:solidFill>
          </w14:textFill>
        </w:rPr>
        <w:t>年版）</w:t>
      </w:r>
    </w:p>
    <w:p>
      <w:pPr>
        <w:keepNext w:val="0"/>
        <w:keepLines w:val="0"/>
        <w:pageBreakBefore w:val="0"/>
        <w:kinsoku/>
        <w:wordWrap/>
        <w:overflowPunct/>
        <w:topLinePunct w:val="0"/>
        <w:autoSpaceDE/>
        <w:autoSpaceDN/>
        <w:bidi w:val="0"/>
        <w:adjustRightInd/>
        <w:snapToGrid/>
        <w:spacing w:line="420" w:lineRule="exact"/>
        <w:jc w:val="center"/>
        <w:textAlignment w:val="auto"/>
        <w:rPr>
          <w:rFonts w:ascii="方正小标宋简体" w:hAnsi="Times New Roman" w:eastAsia="方正小标宋简体" w:cstheme="majorBidi"/>
          <w:b/>
          <w:bCs/>
          <w:color w:val="000000" w:themeColor="text1"/>
          <w:kern w:val="0"/>
          <w:sz w:val="28"/>
          <w:szCs w:val="28"/>
          <w14:textFill>
            <w14:solidFill>
              <w14:schemeClr w14:val="tx1"/>
            </w14:solidFill>
          </w14:textFill>
        </w:rPr>
      </w:pPr>
      <w:r>
        <w:rPr>
          <w:rFonts w:hint="eastAsia" w:ascii="方正小标宋简体" w:hAnsi="Times New Roman" w:eastAsia="方正小标宋简体" w:cstheme="majorBidi"/>
          <w:b/>
          <w:bCs/>
          <w:color w:val="000000" w:themeColor="text1"/>
          <w:kern w:val="0"/>
          <w:sz w:val="28"/>
          <w:szCs w:val="28"/>
          <w14:textFill>
            <w14:solidFill>
              <w14:schemeClr w14:val="tx1"/>
            </w14:solidFill>
          </w14:textFill>
        </w:rPr>
        <w:t>共5</w:t>
      </w:r>
      <w:r>
        <w:rPr>
          <w:rFonts w:hint="eastAsia" w:ascii="方正小标宋简体" w:hAnsi="Times New Roman" w:eastAsia="方正小标宋简体" w:cstheme="majorBidi"/>
          <w:b/>
          <w:bCs/>
          <w:color w:val="000000" w:themeColor="text1"/>
          <w:kern w:val="0"/>
          <w:sz w:val="28"/>
          <w:szCs w:val="28"/>
          <w:lang w:val="en-US" w:eastAsia="zh-CN"/>
          <w14:textFill>
            <w14:solidFill>
              <w14:schemeClr w14:val="tx1"/>
            </w14:solidFill>
          </w14:textFill>
        </w:rPr>
        <w:t>14</w:t>
      </w:r>
      <w:r>
        <w:rPr>
          <w:rFonts w:hint="eastAsia" w:ascii="方正小标宋简体" w:hAnsi="Times New Roman" w:eastAsia="方正小标宋简体" w:cstheme="majorBidi"/>
          <w:b/>
          <w:bCs/>
          <w:color w:val="000000" w:themeColor="text1"/>
          <w:kern w:val="0"/>
          <w:sz w:val="28"/>
          <w:szCs w:val="28"/>
          <w14:textFill>
            <w14:solidFill>
              <w14:schemeClr w14:val="tx1"/>
            </w14:solidFill>
          </w14:textFill>
        </w:rPr>
        <w:t>项</w:t>
      </w:r>
    </w:p>
    <w:p>
      <w:pPr>
        <w:pStyle w:val="9"/>
        <w:keepNext w:val="0"/>
        <w:keepLines w:val="0"/>
        <w:pageBreakBefore w:val="0"/>
        <w:kinsoku/>
        <w:wordWrap/>
        <w:overflowPunct/>
        <w:topLinePunct w:val="0"/>
        <w:autoSpaceDE/>
        <w:autoSpaceDN/>
        <w:bidi w:val="0"/>
        <w:adjustRightInd/>
        <w:snapToGrid/>
        <w:spacing w:line="420" w:lineRule="exact"/>
        <w:jc w:val="center"/>
        <w:textAlignment w:val="auto"/>
        <w:outlineLvl w:val="0"/>
        <w:rPr>
          <w:b/>
          <w:color w:val="000000" w:themeColor="text1"/>
          <w14:textFill>
            <w14:solidFill>
              <w14:schemeClr w14:val="tx1"/>
            </w14:solidFill>
          </w14:textFill>
        </w:rPr>
      </w:pPr>
      <w:r>
        <w:rPr>
          <w:rFonts w:hint="eastAsia"/>
          <w:b/>
          <w:color w:val="000000" w:themeColor="text1"/>
          <w14:textFill>
            <w14:solidFill>
              <w14:schemeClr w14:val="tx1"/>
            </w14:solidFill>
          </w14:textFill>
        </w:rPr>
        <w:t>一、房屋建筑和市政基础设施工程招投标管理类（23项）</w:t>
      </w:r>
      <w:r>
        <w:rPr>
          <w:b/>
          <w:color w:val="000000" w:themeColor="text1"/>
          <w14:textFill>
            <w14:solidFill>
              <w14:schemeClr w14:val="tx1"/>
            </w14:solidFill>
          </w14:textFill>
        </w:rPr>
        <w:ptab w:relativeTo="margin" w:alignment="right" w:leader="dot"/>
      </w:r>
      <w:bookmarkStart w:id="19" w:name="_GoBack"/>
      <w:bookmarkEnd w:id="19"/>
      <w:r>
        <w:rPr>
          <w:rFonts w:hint="eastAsia"/>
          <w:b/>
          <w:color w:val="000000" w:themeColor="text1"/>
          <w14:textFill>
            <w14:solidFill>
              <w14:schemeClr w14:val="tx1"/>
            </w14:solidFill>
          </w14:textFill>
        </w:rPr>
        <w:t>2</w:t>
      </w:r>
    </w:p>
    <w:p>
      <w:pPr>
        <w:pStyle w:val="9"/>
        <w:keepNext w:val="0"/>
        <w:keepLines w:val="0"/>
        <w:pageBreakBefore w:val="0"/>
        <w:kinsoku/>
        <w:wordWrap/>
        <w:overflowPunct/>
        <w:topLinePunct w:val="0"/>
        <w:autoSpaceDE/>
        <w:autoSpaceDN/>
        <w:bidi w:val="0"/>
        <w:adjustRightInd/>
        <w:snapToGrid/>
        <w:spacing w:line="420" w:lineRule="exact"/>
        <w:jc w:val="center"/>
        <w:textAlignment w:val="auto"/>
        <w:outlineLvl w:val="0"/>
        <w:rPr>
          <w:b/>
          <w:color w:val="000000" w:themeColor="text1"/>
          <w:lang w:val="zh-CN"/>
          <w14:textFill>
            <w14:solidFill>
              <w14:schemeClr w14:val="tx1"/>
            </w14:solidFill>
          </w14:textFill>
        </w:rPr>
      </w:pPr>
      <w:r>
        <w:rPr>
          <w:rFonts w:hint="eastAsia"/>
          <w:b/>
          <w:color w:val="000000" w:themeColor="text1"/>
          <w14:textFill>
            <w14:solidFill>
              <w14:schemeClr w14:val="tx1"/>
            </w14:solidFill>
          </w14:textFill>
        </w:rPr>
        <w:t>二、建筑市场监管类（</w:t>
      </w:r>
      <w:r>
        <w:rPr>
          <w:rFonts w:hint="eastAsia"/>
          <w:b/>
          <w:color w:val="000000" w:themeColor="text1"/>
          <w:lang w:val="en-US" w:eastAsia="zh-CN"/>
          <w14:textFill>
            <w14:solidFill>
              <w14:schemeClr w14:val="tx1"/>
            </w14:solidFill>
          </w14:textFill>
        </w:rPr>
        <w:t>52</w:t>
      </w:r>
      <w:r>
        <w:rPr>
          <w:rFonts w:hint="eastAsia"/>
          <w:b/>
          <w:color w:val="000000" w:themeColor="text1"/>
          <w14:textFill>
            <w14:solidFill>
              <w14:schemeClr w14:val="tx1"/>
            </w14:solidFill>
          </w14:textFill>
        </w:rPr>
        <w:t>项）</w:t>
      </w:r>
      <w:r>
        <w:rPr>
          <w:color w:val="000000" w:themeColor="text1"/>
          <w14:textFill>
            <w14:solidFill>
              <w14:schemeClr w14:val="tx1"/>
            </w14:solidFill>
          </w14:textFill>
        </w:rPr>
        <w:ptab w:relativeTo="margin" w:alignment="right" w:leader="dot"/>
      </w:r>
      <w:r>
        <w:rPr>
          <w:b/>
          <w:color w:val="000000" w:themeColor="text1"/>
          <w:lang w:val="zh-CN"/>
          <w14:textFill>
            <w14:solidFill>
              <w14:schemeClr w14:val="tx1"/>
            </w14:solidFill>
          </w14:textFill>
        </w:rPr>
        <w:t>22</w:t>
      </w:r>
    </w:p>
    <w:p>
      <w:pPr>
        <w:pStyle w:val="9"/>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eastAsia" w:eastAsiaTheme="minorEastAsia"/>
          <w:b/>
          <w:color w:val="000000" w:themeColor="text1"/>
          <w:lang w:eastAsia="zh-CN"/>
          <w14:textFill>
            <w14:solidFill>
              <w14:schemeClr w14:val="tx1"/>
            </w14:solidFill>
          </w14:textFill>
        </w:rPr>
      </w:pPr>
      <w:r>
        <w:rPr>
          <w:rFonts w:hint="eastAsia"/>
          <w:b/>
          <w:color w:val="000000" w:themeColor="text1"/>
          <w14:textFill>
            <w14:solidFill>
              <w14:schemeClr w14:val="tx1"/>
            </w14:solidFill>
          </w14:textFill>
        </w:rPr>
        <w:t>三、工程质量安全监管类（128项）</w:t>
      </w:r>
      <w:r>
        <w:rPr>
          <w:b/>
          <w:color w:val="000000" w:themeColor="text1"/>
          <w14:textFill>
            <w14:solidFill>
              <w14:schemeClr w14:val="tx1"/>
            </w14:solidFill>
          </w14:textFill>
        </w:rPr>
        <w:ptab w:relativeTo="margin" w:alignment="right" w:leader="dot"/>
      </w:r>
      <w:r>
        <w:rPr>
          <w:b/>
          <w:color w:val="000000" w:themeColor="text1"/>
          <w14:textFill>
            <w14:solidFill>
              <w14:schemeClr w14:val="tx1"/>
            </w14:solidFill>
          </w14:textFill>
        </w:rPr>
        <w:t>5</w:t>
      </w:r>
      <w:r>
        <w:rPr>
          <w:rFonts w:hint="eastAsia"/>
          <w:b/>
          <w:color w:val="000000" w:themeColor="text1"/>
          <w:lang w:val="en-US" w:eastAsia="zh-CN"/>
          <w14:textFill>
            <w14:solidFill>
              <w14:schemeClr w14:val="tx1"/>
            </w14:solidFill>
          </w14:textFill>
        </w:rPr>
        <w:t>6</w:t>
      </w:r>
    </w:p>
    <w:p>
      <w:pPr>
        <w:pStyle w:val="9"/>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eastAsia" w:eastAsiaTheme="minorEastAsia"/>
          <w:b/>
          <w:color w:val="000000" w:themeColor="text1"/>
          <w:lang w:eastAsia="zh-CN"/>
          <w14:textFill>
            <w14:solidFill>
              <w14:schemeClr w14:val="tx1"/>
            </w14:solidFill>
          </w14:textFill>
        </w:rPr>
      </w:pPr>
      <w:r>
        <w:rPr>
          <w:rFonts w:hint="eastAsia"/>
          <w:b/>
          <w:color w:val="000000" w:themeColor="text1"/>
          <w14:textFill>
            <w14:solidFill>
              <w14:schemeClr w14:val="tx1"/>
            </w14:solidFill>
          </w14:textFill>
        </w:rPr>
        <w:t>四、建筑节能类（14项）</w:t>
      </w:r>
      <w:r>
        <w:rPr>
          <w:b/>
          <w:color w:val="000000" w:themeColor="text1"/>
          <w14:textFill>
            <w14:solidFill>
              <w14:schemeClr w14:val="tx1"/>
            </w14:solidFill>
          </w14:textFill>
        </w:rPr>
        <w:ptab w:relativeTo="margin" w:alignment="right" w:leader="dot"/>
      </w:r>
      <w:r>
        <w:rPr>
          <w:rFonts w:hint="eastAsia"/>
          <w:b/>
          <w:color w:val="000000" w:themeColor="text1"/>
          <w14:textFill>
            <w14:solidFill>
              <w14:schemeClr w14:val="tx1"/>
            </w14:solidFill>
          </w14:textFill>
        </w:rPr>
        <w:t>17</w:t>
      </w:r>
      <w:r>
        <w:rPr>
          <w:rFonts w:hint="eastAsia"/>
          <w:b/>
          <w:color w:val="000000" w:themeColor="text1"/>
          <w:lang w:val="en-US" w:eastAsia="zh-CN"/>
          <w14:textFill>
            <w14:solidFill>
              <w14:schemeClr w14:val="tx1"/>
            </w14:solidFill>
          </w14:textFill>
        </w:rPr>
        <w:t>0</w:t>
      </w:r>
    </w:p>
    <w:p>
      <w:pPr>
        <w:pStyle w:val="9"/>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eastAsia" w:eastAsiaTheme="minorEastAsia"/>
          <w:b/>
          <w:color w:val="000000" w:themeColor="text1"/>
          <w:lang w:eastAsia="zh-CN"/>
          <w14:textFill>
            <w14:solidFill>
              <w14:schemeClr w14:val="tx1"/>
            </w14:solidFill>
          </w14:textFill>
        </w:rPr>
      </w:pPr>
      <w:r>
        <w:rPr>
          <w:rFonts w:hint="eastAsia"/>
          <w:b/>
          <w:color w:val="000000" w:themeColor="text1"/>
          <w14:textFill>
            <w14:solidFill>
              <w14:schemeClr w14:val="tx1"/>
            </w14:solidFill>
          </w14:textFill>
        </w:rPr>
        <w:t>五、标准定额与勘察设计管理类（</w:t>
      </w:r>
      <w:r>
        <w:rPr>
          <w:rFonts w:hint="eastAsia"/>
          <w:b/>
          <w:color w:val="000000" w:themeColor="text1"/>
          <w:lang w:val="en-US" w:eastAsia="zh-CN"/>
          <w14:textFill>
            <w14:solidFill>
              <w14:schemeClr w14:val="tx1"/>
            </w14:solidFill>
          </w14:textFill>
        </w:rPr>
        <w:t>20</w:t>
      </w:r>
      <w:r>
        <w:rPr>
          <w:rFonts w:hint="eastAsia"/>
          <w:b/>
          <w:color w:val="000000" w:themeColor="text1"/>
          <w14:textFill>
            <w14:solidFill>
              <w14:schemeClr w14:val="tx1"/>
            </w14:solidFill>
          </w14:textFill>
        </w:rPr>
        <w:t>项）</w:t>
      </w:r>
      <w:r>
        <w:rPr>
          <w:b/>
          <w:color w:val="000000" w:themeColor="text1"/>
          <w14:textFill>
            <w14:solidFill>
              <w14:schemeClr w14:val="tx1"/>
            </w14:solidFill>
          </w14:textFill>
        </w:rPr>
        <w:ptab w:relativeTo="margin" w:alignment="right" w:leader="dot"/>
      </w:r>
      <w:r>
        <w:rPr>
          <w:rFonts w:hint="eastAsia"/>
          <w:b/>
          <w:color w:val="000000" w:themeColor="text1"/>
          <w14:textFill>
            <w14:solidFill>
              <w14:schemeClr w14:val="tx1"/>
            </w14:solidFill>
          </w14:textFill>
        </w:rPr>
        <w:t>1</w:t>
      </w:r>
      <w:r>
        <w:rPr>
          <w:b/>
          <w:color w:val="000000" w:themeColor="text1"/>
          <w14:textFill>
            <w14:solidFill>
              <w14:schemeClr w14:val="tx1"/>
            </w14:solidFill>
          </w14:textFill>
        </w:rPr>
        <w:t>8</w:t>
      </w:r>
      <w:r>
        <w:rPr>
          <w:rFonts w:hint="eastAsia"/>
          <w:b/>
          <w:color w:val="000000" w:themeColor="text1"/>
          <w:lang w:val="en-US" w:eastAsia="zh-CN"/>
          <w14:textFill>
            <w14:solidFill>
              <w14:schemeClr w14:val="tx1"/>
            </w14:solidFill>
          </w14:textFill>
        </w:rPr>
        <w:t>3</w:t>
      </w:r>
    </w:p>
    <w:p>
      <w:pPr>
        <w:pStyle w:val="9"/>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eastAsia" w:eastAsiaTheme="minorEastAsia"/>
          <w:b/>
          <w:color w:val="000000" w:themeColor="text1"/>
          <w:lang w:eastAsia="zh-CN"/>
          <w14:textFill>
            <w14:solidFill>
              <w14:schemeClr w14:val="tx1"/>
            </w14:solidFill>
          </w14:textFill>
        </w:rPr>
      </w:pPr>
      <w:r>
        <w:rPr>
          <w:rFonts w:hint="eastAsia"/>
          <w:b/>
          <w:color w:val="000000" w:themeColor="text1"/>
          <w14:textFill>
            <w14:solidFill>
              <w14:schemeClr w14:val="tx1"/>
            </w14:solidFill>
          </w14:textFill>
        </w:rPr>
        <w:t>六、建设工程消防设计审查验收类（8项）</w:t>
      </w:r>
      <w:r>
        <w:rPr>
          <w:b/>
          <w:color w:val="000000" w:themeColor="text1"/>
          <w14:textFill>
            <w14:solidFill>
              <w14:schemeClr w14:val="tx1"/>
            </w14:solidFill>
          </w14:textFill>
        </w:rPr>
        <w:ptab w:relativeTo="margin" w:alignment="right" w:leader="dot"/>
      </w:r>
      <w:r>
        <w:rPr>
          <w:b/>
          <w:color w:val="000000" w:themeColor="text1"/>
          <w14:textFill>
            <w14:solidFill>
              <w14:schemeClr w14:val="tx1"/>
            </w14:solidFill>
          </w14:textFill>
        </w:rPr>
        <w:t>20</w:t>
      </w:r>
      <w:r>
        <w:rPr>
          <w:rFonts w:hint="eastAsia"/>
          <w:b/>
          <w:color w:val="000000" w:themeColor="text1"/>
          <w:lang w:val="en-US" w:eastAsia="zh-CN"/>
          <w14:textFill>
            <w14:solidFill>
              <w14:schemeClr w14:val="tx1"/>
            </w14:solidFill>
          </w14:textFill>
        </w:rPr>
        <w:t>6</w:t>
      </w:r>
    </w:p>
    <w:p>
      <w:pPr>
        <w:pStyle w:val="9"/>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eastAsia" w:eastAsiaTheme="minorEastAsia"/>
          <w:b/>
          <w:color w:val="000000" w:themeColor="text1"/>
          <w:lang w:eastAsia="zh-CN"/>
          <w14:textFill>
            <w14:solidFill>
              <w14:schemeClr w14:val="tx1"/>
            </w14:solidFill>
          </w14:textFill>
        </w:rPr>
      </w:pPr>
      <w:r>
        <w:rPr>
          <w:rFonts w:hint="eastAsia"/>
          <w:b/>
          <w:color w:val="000000" w:themeColor="text1"/>
          <w14:textFill>
            <w14:solidFill>
              <w14:schemeClr w14:val="tx1"/>
            </w14:solidFill>
          </w14:textFill>
        </w:rPr>
        <w:t>七、房地产类（</w:t>
      </w:r>
      <w:r>
        <w:rPr>
          <w:b/>
          <w:color w:val="000000" w:themeColor="text1"/>
          <w14:textFill>
            <w14:solidFill>
              <w14:schemeClr w14:val="tx1"/>
            </w14:solidFill>
          </w14:textFill>
        </w:rPr>
        <w:t>104</w:t>
      </w:r>
      <w:r>
        <w:rPr>
          <w:rFonts w:hint="eastAsia"/>
          <w:b/>
          <w:color w:val="000000" w:themeColor="text1"/>
          <w14:textFill>
            <w14:solidFill>
              <w14:schemeClr w14:val="tx1"/>
            </w14:solidFill>
          </w14:textFill>
        </w:rPr>
        <w:t>项）</w:t>
      </w:r>
      <w:r>
        <w:rPr>
          <w:b/>
          <w:color w:val="000000" w:themeColor="text1"/>
          <w14:textFill>
            <w14:solidFill>
              <w14:schemeClr w14:val="tx1"/>
            </w14:solidFill>
          </w14:textFill>
        </w:rPr>
        <w:ptab w:relativeTo="margin" w:alignment="right" w:leader="dot"/>
      </w:r>
      <w:r>
        <w:rPr>
          <w:b/>
          <w:color w:val="000000" w:themeColor="text1"/>
          <w14:textFill>
            <w14:solidFill>
              <w14:schemeClr w14:val="tx1"/>
            </w14:solidFill>
          </w14:textFill>
        </w:rPr>
        <w:t>21</w:t>
      </w:r>
      <w:r>
        <w:rPr>
          <w:rFonts w:hint="eastAsia"/>
          <w:b/>
          <w:color w:val="000000" w:themeColor="text1"/>
          <w:lang w:val="en-US" w:eastAsia="zh-CN"/>
          <w14:textFill>
            <w14:solidFill>
              <w14:schemeClr w14:val="tx1"/>
            </w14:solidFill>
          </w14:textFill>
        </w:rPr>
        <w:t>0</w:t>
      </w:r>
    </w:p>
    <w:p>
      <w:pPr>
        <w:pStyle w:val="9"/>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default" w:eastAsiaTheme="minorEastAsia"/>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八、住房公积金类（2项）</w:t>
      </w:r>
      <w:r>
        <w:rPr>
          <w:b/>
          <w:color w:val="000000" w:themeColor="text1"/>
          <w14:textFill>
            <w14:solidFill>
              <w14:schemeClr w14:val="tx1"/>
            </w14:solidFill>
          </w14:textFill>
        </w:rPr>
        <w:ptab w:relativeTo="margin" w:alignment="right" w:leader="dot"/>
      </w:r>
      <w:r>
        <w:rPr>
          <w:rFonts w:hint="eastAsia"/>
          <w:b/>
          <w:color w:val="000000" w:themeColor="text1"/>
          <w14:textFill>
            <w14:solidFill>
              <w14:schemeClr w14:val="tx1"/>
            </w14:solidFill>
          </w14:textFill>
        </w:rPr>
        <w:t>2</w:t>
      </w:r>
      <w:r>
        <w:rPr>
          <w:rFonts w:hint="eastAsia"/>
          <w:b/>
          <w:color w:val="000000" w:themeColor="text1"/>
          <w:lang w:val="en-US" w:eastAsia="zh-CN"/>
          <w14:textFill>
            <w14:solidFill>
              <w14:schemeClr w14:val="tx1"/>
            </w14:solidFill>
          </w14:textFill>
        </w:rPr>
        <w:t>79</w:t>
      </w:r>
    </w:p>
    <w:p>
      <w:pPr>
        <w:pStyle w:val="9"/>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eastAsia" w:eastAsiaTheme="minorEastAsia"/>
          <w:b/>
          <w:color w:val="000000" w:themeColor="text1"/>
          <w:lang w:eastAsia="zh-CN"/>
          <w14:textFill>
            <w14:solidFill>
              <w14:schemeClr w14:val="tx1"/>
            </w14:solidFill>
          </w14:textFill>
        </w:rPr>
      </w:pPr>
      <w:r>
        <w:rPr>
          <w:rFonts w:hint="eastAsia"/>
          <w:b/>
          <w:color w:val="000000" w:themeColor="text1"/>
          <w14:textFill>
            <w14:solidFill>
              <w14:schemeClr w14:val="tx1"/>
            </w14:solidFill>
          </w14:textFill>
        </w:rPr>
        <w:t>九、城市建设与管理类（144项）</w:t>
      </w:r>
      <w:r>
        <w:rPr>
          <w:b/>
          <w:color w:val="000000" w:themeColor="text1"/>
          <w14:textFill>
            <w14:solidFill>
              <w14:schemeClr w14:val="tx1"/>
            </w14:solidFill>
          </w14:textFill>
        </w:rPr>
        <w:ptab w:relativeTo="margin" w:alignment="right" w:leader="dot"/>
      </w:r>
      <w:r>
        <w:rPr>
          <w:rFonts w:hint="eastAsia"/>
          <w:b/>
          <w:color w:val="000000" w:themeColor="text1"/>
          <w14:textFill>
            <w14:solidFill>
              <w14:schemeClr w14:val="tx1"/>
            </w14:solidFill>
          </w14:textFill>
        </w:rPr>
        <w:t>28</w:t>
      </w:r>
      <w:r>
        <w:rPr>
          <w:rFonts w:hint="eastAsia"/>
          <w:b/>
          <w:color w:val="000000" w:themeColor="text1"/>
          <w:lang w:val="en-US" w:eastAsia="zh-CN"/>
          <w14:textFill>
            <w14:solidFill>
              <w14:schemeClr w14:val="tx1"/>
            </w14:solidFill>
          </w14:textFill>
        </w:rPr>
        <w:t>1</w:t>
      </w:r>
    </w:p>
    <w:p>
      <w:pPr>
        <w:rPr>
          <w:rFonts w:hint="default" w:asciiTheme="minorHAnsi" w:hAnsiTheme="minorHAnsi" w:eastAsiaTheme="minorEastAsia" w:cstheme="minorBidi"/>
          <w:b w:val="0"/>
          <w:bCs w:val="0"/>
          <w:color w:val="000000" w:themeColor="text1"/>
          <w:kern w:val="2"/>
          <w:sz w:val="21"/>
          <w:szCs w:val="22"/>
          <w:lang w:val="en-US" w:eastAsia="zh-CN"/>
          <w14:textFill>
            <w14:solidFill>
              <w14:schemeClr w14:val="tx1"/>
            </w14:solidFill>
          </w14:textFill>
        </w:rPr>
      </w:pPr>
      <w:r>
        <w:rPr>
          <w:rFonts w:hint="eastAsia"/>
          <w:b/>
          <w:color w:val="000000" w:themeColor="text1"/>
          <w14:textFill>
            <w14:solidFill>
              <w14:schemeClr w14:val="tx1"/>
            </w14:solidFill>
          </w14:textFill>
        </w:rPr>
        <w:t>十、大气污染防治类（19项）</w:t>
      </w:r>
      <w:r>
        <w:rPr>
          <w:b/>
          <w:color w:val="000000" w:themeColor="text1"/>
          <w14:textFill>
            <w14:solidFill>
              <w14:schemeClr w14:val="tx1"/>
            </w14:solidFill>
          </w14:textFill>
        </w:rPr>
        <w:ptab w:relativeTo="margin" w:alignment="right" w:leader="dot"/>
      </w:r>
      <w:r>
        <w:rPr>
          <w:rFonts w:hint="eastAsia"/>
          <w:b/>
          <w:color w:val="000000" w:themeColor="text1"/>
          <w14:textFill>
            <w14:solidFill>
              <w14:schemeClr w14:val="tx1"/>
            </w14:solidFill>
          </w14:textFill>
        </w:rPr>
        <w:t>3</w:t>
      </w:r>
      <w:r>
        <w:rPr>
          <w:rFonts w:hint="eastAsia"/>
          <w:b/>
          <w:color w:val="000000" w:themeColor="text1"/>
          <w:lang w:val="en-US" w:eastAsia="zh-CN"/>
          <w14:textFill>
            <w14:solidFill>
              <w14:schemeClr w14:val="tx1"/>
            </w14:solidFill>
          </w14:textFill>
        </w:rPr>
        <w:t>88</w:t>
      </w:r>
    </w:p>
    <w:p>
      <w:pPr>
        <w:rPr>
          <w:color w:val="000000" w:themeColor="text1"/>
          <w14:textFill>
            <w14:solidFill>
              <w14:schemeClr w14:val="tx1"/>
            </w14:solidFill>
          </w14:textFill>
        </w:rPr>
      </w:pPr>
    </w:p>
    <w:tbl>
      <w:tblPr>
        <w:tblStyle w:val="13"/>
        <w:tblW w:w="13810" w:type="dxa"/>
        <w:jc w:val="center"/>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
        <w:gridCol w:w="518"/>
        <w:gridCol w:w="48"/>
        <w:gridCol w:w="1328"/>
        <w:gridCol w:w="112"/>
        <w:gridCol w:w="1016"/>
        <w:gridCol w:w="46"/>
        <w:gridCol w:w="53"/>
        <w:gridCol w:w="4194"/>
        <w:gridCol w:w="61"/>
        <w:gridCol w:w="1055"/>
        <w:gridCol w:w="17"/>
        <w:gridCol w:w="29"/>
        <w:gridCol w:w="561"/>
        <w:gridCol w:w="1420"/>
        <w:gridCol w:w="105"/>
        <w:gridCol w:w="3232"/>
      </w:tblGrid>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33" w:type="dxa"/>
            <w:gridSpan w:val="2"/>
            <w:tcBorders>
              <w:tl2br w:val="nil"/>
              <w:tr2bl w:val="nil"/>
            </w:tcBorders>
            <w:tcMar>
              <w:top w:w="15" w:type="dxa"/>
              <w:left w:w="15" w:type="dxa"/>
              <w:bottom w:w="15" w:type="dxa"/>
              <w:right w:w="15" w:type="dxa"/>
            </w:tcMar>
            <w:vAlign w:val="center"/>
          </w:tcPr>
          <w:p>
            <w:pPr>
              <w:widowControl/>
              <w:spacing w:line="0" w:lineRule="atLeas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号</w:t>
            </w:r>
          </w:p>
        </w:tc>
        <w:tc>
          <w:tcPr>
            <w:tcW w:w="1376"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违法行为</w:t>
            </w:r>
          </w:p>
        </w:tc>
        <w:tc>
          <w:tcPr>
            <w:tcW w:w="1128" w:type="dxa"/>
            <w:gridSpan w:val="2"/>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违反条款</w:t>
            </w:r>
          </w:p>
        </w:tc>
        <w:tc>
          <w:tcPr>
            <w:tcW w:w="4354" w:type="dxa"/>
            <w:gridSpan w:val="4"/>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处罚依据</w:t>
            </w:r>
          </w:p>
        </w:tc>
        <w:tc>
          <w:tcPr>
            <w:tcW w:w="308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裁量档次</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处罚基准</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665" w:hRule="atLeast"/>
          <w:jc w:val="center"/>
        </w:trPr>
        <w:tc>
          <w:tcPr>
            <w:tcW w:w="13810" w:type="dxa"/>
            <w:gridSpan w:val="17"/>
            <w:tcBorders>
              <w:tl2br w:val="nil"/>
              <w:tr2bl w:val="nil"/>
            </w:tcBorders>
            <w:tcMar>
              <w:top w:w="15" w:type="dxa"/>
              <w:left w:w="15" w:type="dxa"/>
              <w:bottom w:w="15" w:type="dxa"/>
              <w:right w:w="15" w:type="dxa"/>
            </w:tcMar>
            <w:vAlign w:val="center"/>
          </w:tcPr>
          <w:p>
            <w:pPr>
              <w:widowControl/>
              <w:spacing w:line="240" w:lineRule="auto"/>
              <w:ind w:firstLine="220" w:firstLineChars="100"/>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b/>
                <w:color w:val="000000" w:themeColor="text1"/>
                <w:sz w:val="22"/>
                <w14:textFill>
                  <w14:solidFill>
                    <w14:schemeClr w14:val="tx1"/>
                  </w14:solidFill>
                </w14:textFill>
              </w:rPr>
              <w:t>房屋建筑和市政基础设施工程招投标管理类</w:t>
            </w:r>
            <w:r>
              <w:rPr>
                <w:rFonts w:hint="eastAsia" w:ascii="仿宋_GB2312" w:hAnsi="黑体" w:eastAsia="仿宋_GB2312"/>
                <w:b/>
                <w:color w:val="000000" w:themeColor="text1"/>
                <w:kern w:val="0"/>
                <w:szCs w:val="21"/>
                <w14:textFill>
                  <w14:solidFill>
                    <w14:schemeClr w14:val="tx1"/>
                  </w14:solidFill>
                </w14:textFill>
              </w:rPr>
              <w:t>（23项）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6"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spacing w:line="0" w:lineRule="atLeas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w:t>
            </w:r>
          </w:p>
        </w:tc>
        <w:tc>
          <w:tcPr>
            <w:tcW w:w="1376" w:type="dxa"/>
            <w:gridSpan w:val="2"/>
            <w:vMerge w:val="restart"/>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必须进行招标的项目而不招标的，将必须进行招标的项目化整为零或者以其他任何方式规避招标的</w:t>
            </w:r>
          </w:p>
        </w:tc>
        <w:tc>
          <w:tcPr>
            <w:tcW w:w="1128"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《中华人民共和国招标投标法》第三条/第四条</w:t>
            </w: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《工程建设项目施工招标投标办法》第六十八条</w:t>
            </w: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《中华人民共和国招标投标法》第四十九条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《工程建设项目施工招标投标办法》第六十八条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必须进行招标的项目而不招标的，将必须进行招标的项目化整为零或者以其他任何方式规避招标的，有关行政监督部门责令限期改正，可以处项目合同金额千分之五以上千分之十以下的罚款；对全部或者部分使用国有资金的项目，项目审批部门可以暂停项目执行或者暂停资金拨付；对单位直接负责的主管人员和其他直接责任人员依法给予处分。</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项目尚未开工，及时纠正的。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责令限期改正，可以处项目合同金额千分之五的罚款。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24"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项目已经开工，及时纠正的。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责令限期改正，可以处项目合同金额千分之五以上千分之七以下的罚款。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94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（1）逾期未改正，未造成严重后果的。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责令限期改正，可以处项目合同金额千分之七以上千分之九以下的罚款。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615"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（2）逾期未改正，造成严重后果的。</w:t>
            </w:r>
          </w:p>
        </w:tc>
        <w:tc>
          <w:tcPr>
            <w:tcW w:w="3337"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责令限期改正，可以处项目合同金额千分之九以上千分之十以下的罚款。</w:t>
            </w:r>
          </w:p>
          <w:p>
            <w:pPr>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spacing w:line="0" w:lineRule="atLeas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2</w:t>
            </w:r>
          </w:p>
        </w:tc>
        <w:tc>
          <w:tcPr>
            <w:tcW w:w="1376"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招标代理机构泄露应当保密的与招标投标活动有关的情况和资料的，或者与招标人、投标人串通损害国家利益、社会公共利益或者他人合法权益的</w:t>
            </w:r>
          </w:p>
        </w:tc>
        <w:tc>
          <w:tcPr>
            <w:tcW w:w="1128"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《中华人民共和国招标投标法》第十五条/第二十二条/第三十二条第二款</w:t>
            </w: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《工程建设项目施工招标投标办法》第六十九条</w:t>
            </w: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《中华人民共和国招标投标法》第五十条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前款所列行为影响中标结果的，中标无效。</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未影响中标结果的。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对招标代理机构处五万元的罚款，对单位直接负责的主管人员和其他直接责任人员处单位罚款金额的百分之五的罚款；有违法所得的，并处没收违法所得。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22"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影响中标结果，但中标人不是该违法行为的受益人的。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中标无效;对招标代理机构处五万元以上十万元以下的罚款，对单位直接负责的主管人员和其他直接责任人员处单位罚款金额的百分之五以上百分之七点五以下的罚款；有违法所得的，并处没收违法所得。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825"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1981" w:type="dxa"/>
            <w:gridSpan w:val="2"/>
            <w:tcBorders>
              <w:tl2br w:val="nil"/>
              <w:tr2bl w:val="nil"/>
            </w:tcBorders>
            <w:tcMar>
              <w:top w:w="15" w:type="dxa"/>
              <w:left w:w="15" w:type="dxa"/>
              <w:bottom w:w="15" w:type="dxa"/>
              <w:right w:w="15" w:type="dxa"/>
            </w:tcMar>
            <w:vAlign w:val="center"/>
          </w:tcPr>
          <w:p>
            <w:pPr>
              <w:widowControl/>
              <w:spacing w:before="100" w:beforeAutospacing="1" w:after="100" w:afterAutospacing="1"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（1）影响中标结果，且中标人为该违法行为的受益人，但未对国家或社会公共利益造成重大损失或严重后果的。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中标无效；对招标代理机构处十万元以上二十万元以下的罚款，对单位直接负责的主管人员和其他直接责任人员处单位罚款金额百分之七点五以上百分之八点五以下的罚款；有违法所得的，并处没收违法所得。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75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（2）影响中标结果，且中标人为该违法行为的受益人的，且对国家利益、社会公共利益或者他人合法权益造成重大损失，造成重大后果，情节严重的。</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对招标代理机构处二十万元以上二十五万元以下的罚款，对单位直接负责的主管人员和其他直接责任人员处单位罚款金额百分之八点五以上百分之十以下的罚款；有违法所得的，并处没收违法所得；禁止其一年至二年内代理依法必须进行招标的项目并予以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528" w:hRule="atLeast"/>
          <w:jc w:val="center"/>
        </w:trPr>
        <w:tc>
          <w:tcPr>
            <w:tcW w:w="533" w:type="dxa"/>
            <w:gridSpan w:val="2"/>
            <w:vMerge w:val="restart"/>
            <w:tcBorders>
              <w:tl2br w:val="nil"/>
              <w:tr2bl w:val="nil"/>
            </w:tcBorders>
            <w:vAlign w:val="center"/>
          </w:tcPr>
          <w:p>
            <w:pPr>
              <w:widowControl/>
              <w:spacing w:line="0" w:lineRule="atLeast"/>
              <w:rPr>
                <w:rFonts w:ascii="仿宋_GB2312" w:hAnsi="宋体" w:eastAsia="仿宋_GB2312" w:cs="Times New Roman"/>
                <w:color w:val="000000" w:themeColor="text1"/>
                <w:szCs w:val="21"/>
                <w14:textFill>
                  <w14:solidFill>
                    <w14:schemeClr w14:val="tx1"/>
                  </w14:solidFill>
                </w14:textFill>
              </w:rPr>
            </w:pPr>
          </w:p>
          <w:p>
            <w:pPr>
              <w:widowControl/>
              <w:spacing w:line="0" w:lineRule="atLeas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3</w:t>
            </w:r>
          </w:p>
        </w:tc>
        <w:tc>
          <w:tcPr>
            <w:tcW w:w="1376"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招标人以不合理的条件限制或者排斥潜在投标人的，对潜在投标人实行歧视待遇的，强制要求投标人组成联合体共同投标的，或者限制投标人之间竞争的</w:t>
            </w:r>
          </w:p>
        </w:tc>
        <w:tc>
          <w:tcPr>
            <w:tcW w:w="1128"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《中华人民共和国招标投标法》第十八条第二款／第三十一条第四款</w:t>
            </w: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《中华人民共和国招标投标法》第五十一条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招标人以不合理的条件限制或者排斥潜在投标人的，对潜在投标人实行歧视待遇的，强制要求投标人组成联合体共同投标的，或者限制投标人之间竞争的，责令改正，可以处一万元以上五万元以下的罚款。</w:t>
            </w: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已发出邀请招标文件，但尚未组织评标。</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责令改正，可以处一万元以上两万元以下的罚款。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jc w:val="center"/>
        </w:trPr>
        <w:tc>
          <w:tcPr>
            <w:tcW w:w="533" w:type="dxa"/>
            <w:gridSpan w:val="2"/>
            <w:vMerge w:val="continue"/>
            <w:tcBorders>
              <w:tl2br w:val="nil"/>
              <w:tr2bl w:val="nil"/>
            </w:tcBorders>
            <w:vAlign w:val="center"/>
          </w:tcPr>
          <w:p>
            <w:pPr>
              <w:widowControl/>
              <w:spacing w:line="0" w:lineRule="atLeast"/>
              <w:jc w:val="center"/>
              <w:textAlignment w:val="center"/>
              <w:rPr>
                <w:rFonts w:ascii="Times New Roman" w:hAnsi="Times New Roman" w:eastAsia="宋体"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已组织评标或者签订合同，但未履行合同约定事项。</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责令改正，可以处二万元以上四万元以下的罚款。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jc w:val="center"/>
        </w:trPr>
        <w:tc>
          <w:tcPr>
            <w:tcW w:w="533" w:type="dxa"/>
            <w:gridSpan w:val="2"/>
            <w:vMerge w:val="continue"/>
            <w:tcBorders>
              <w:tl2br w:val="nil"/>
              <w:tr2bl w:val="nil"/>
            </w:tcBorders>
            <w:vAlign w:val="center"/>
          </w:tcPr>
          <w:p>
            <w:pPr>
              <w:widowControl/>
              <w:spacing w:line="0" w:lineRule="atLeas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(1)履行合同约定事项；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(2)其他情节恶劣，或造成严重后果的违法行为。</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责令改正，可以处四万元以上五万元以下的罚款。</w:t>
            </w: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spacing w:line="0" w:lineRule="atLeas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4</w:t>
            </w:r>
          </w:p>
        </w:tc>
        <w:tc>
          <w:tcPr>
            <w:tcW w:w="1376"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依法必须进行招标的项目的招标人向他人透露已获取招标文件的潜在投标人的名称、数量或者可能影响公平竞争的有关招标投标的其他情况的，或者泄露标底</w:t>
            </w:r>
          </w:p>
        </w:tc>
        <w:tc>
          <w:tcPr>
            <w:tcW w:w="1128" w:type="dxa"/>
            <w:gridSpan w:val="2"/>
            <w:vMerge w:val="restart"/>
            <w:tcBorders>
              <w:tl2br w:val="nil"/>
              <w:tr2bl w:val="nil"/>
            </w:tcBorders>
            <w:shd w:val="clear" w:color="auto" w:fill="auto"/>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《中华人民共和国招标投标法》第二十二条</w:t>
            </w:r>
          </w:p>
        </w:tc>
        <w:tc>
          <w:tcPr>
            <w:tcW w:w="4354"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《中华人民共和国招标投标法》第五十二条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负责人员依法给予处分；构成犯罪的，依法追究刑事责任。</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尚未影响到招标活动正常进行的。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给予警告，可以并处一万元以上三万元以下的罚款。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shd w:val="clear" w:color="auto" w:fill="auto"/>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影响到招标活动正常进行的。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给予警告，可以并处三万元以上七万元以下的罚款。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shd w:val="clear" w:color="auto" w:fill="auto"/>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(1)导致中标结果无效的；</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(2)其他情节恶劣，或造成严重后果的。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给予警告，可以并处七万元以上十万元以下的罚款。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1"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spacing w:line="0" w:lineRule="atLeas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5</w:t>
            </w:r>
          </w:p>
        </w:tc>
        <w:tc>
          <w:tcPr>
            <w:tcW w:w="1376"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投标人相互串通投标或者与招标人串通投标的，投标人以向招标人或者评标委员会成员行贿的手段谋取中标的</w:t>
            </w:r>
          </w:p>
        </w:tc>
        <w:tc>
          <w:tcPr>
            <w:tcW w:w="1128"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《中华人民共和国招标投标法》第三十二条</w:t>
            </w:r>
          </w:p>
        </w:tc>
        <w:tc>
          <w:tcPr>
            <w:tcW w:w="4354"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《中华人民共和国招标投标法》第五十三条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《中华人民共和国招标投标法实施条例》第六十七条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投标人有下列行为之一的，属于招标投标法第五十三条规定的情节严重行为，由有关行政监督部门取消其1年至2年内参加依法必须进行招标的项目的投标资格：</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（一）以行贿谋取中标；</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（二）3年内2次以上串通投标；</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（三）串通投标行为损害招标人、其他投标人或者国家、集体、公民的合法利益，造成直接经济损失30万元以上；</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（四）其他串通投标情节严重的行为。</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投标人自本条第二款规定的处罚执行期限届满之日起3年内又有该款所列违法行为之一的，或者串通投标、以行贿谋取中标情节特别严重的，由工商行政管理机关吊销营业执照。</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法律、行政法规对串通投标报价行为的处罚另有规定的，从其规定。</w:t>
            </w:r>
          </w:p>
        </w:tc>
        <w:tc>
          <w:tcPr>
            <w:tcW w:w="1101" w:type="dxa"/>
            <w:gridSpan w:val="3"/>
            <w:tcBorders>
              <w:tl2br w:val="nil"/>
              <w:tr2bl w:val="nil"/>
            </w:tcBorders>
            <w:tcMar>
              <w:top w:w="15" w:type="dxa"/>
              <w:left w:w="15" w:type="dxa"/>
              <w:bottom w:w="15" w:type="dxa"/>
              <w:right w:w="15" w:type="dxa"/>
            </w:tcMar>
            <w:vAlign w:val="center"/>
          </w:tcPr>
          <w:p>
            <w:pPr>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该违法行为对中标结果未产生影响的。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对投标人处中标项目金额千分之五以上千分之六以下的罚款，对单位直接负责的主管人员和其他直接责任人员处单位罚款数额百分之五以上百分之六以下的罚款；有违法所得的，并处没收违法所得。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67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该违法行为对中标结果产生影响，但又不属于从重情形的。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中标无效，对投标人处中标项目金额千分之六以上千分之八以下的罚款，对单位直接负责的主管人员和其他直接责任人员处单位罚款数额百分之六以上百分之八以下的罚款；有违法所得的，并处没收违法所得。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62"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（1）以行贿谋取中标的；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 xml:space="preserve">  （2）3年内串通投标2次以上的；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 xml:space="preserve">  （3）串通投标行为损害招标人、其他投标人或者国家、集体、公民的合法利益，造成直接经济损失30万元以上的；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 xml:space="preserve">  （4）</w:t>
            </w:r>
            <w:r>
              <w:rPr>
                <w:rFonts w:ascii="仿宋_GB2312" w:hAnsi="宋体" w:eastAsia="仿宋_GB2312"/>
                <w:color w:val="000000" w:themeColor="text1"/>
                <w:kern w:val="0"/>
                <w:szCs w:val="21"/>
                <w14:textFill>
                  <w14:solidFill>
                    <w14:schemeClr w14:val="tx1"/>
                  </w14:solidFill>
                </w14:textFill>
              </w:rPr>
              <w:t>其他串通投标情节严重的行为的</w:t>
            </w:r>
            <w:r>
              <w:rPr>
                <w:rFonts w:hint="eastAsia" w:ascii="仿宋_GB2312" w:hAnsi="宋体" w:eastAsia="仿宋_GB2312"/>
                <w:color w:val="000000" w:themeColor="text1"/>
                <w:kern w:val="0"/>
                <w:szCs w:val="21"/>
                <w14:textFill>
                  <w14:solidFill>
                    <w14:schemeClr w14:val="tx1"/>
                  </w14:solidFill>
                </w14:textFill>
              </w:rPr>
              <w:t>。</w:t>
            </w:r>
          </w:p>
        </w:tc>
        <w:tc>
          <w:tcPr>
            <w:tcW w:w="3337"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对投标人处中标项目金额千分之八至千分之十的罚款，对单位直接负责的主管人员和其他直接责任人员处单位罚款数额百分之八至百分之十的罚款；有违法所得的，并处没收违法所得；取消其1年至2年内参加依法必须进行招标的项目的投标资格。</w:t>
            </w:r>
          </w:p>
          <w:p>
            <w:pPr>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5"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spacing w:line="0" w:lineRule="atLeas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6</w:t>
            </w:r>
          </w:p>
        </w:tc>
        <w:tc>
          <w:tcPr>
            <w:tcW w:w="137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投标人以他人名义投标或者以其他方式弄虚作假，骗取中标的,尚未构成犯罪的</w:t>
            </w:r>
          </w:p>
        </w:tc>
        <w:tc>
          <w:tcPr>
            <w:tcW w:w="1128"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《中华人民共和国招标投标法》第三十三条</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《中华人民共和国招标投标法》第五十四条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投标人以他人名义投标或者以其他方式弄虚作假，骗取中标的，中标无效，给招标人造成损失的，依法承担赔偿责任；构成犯罪的，依法追究刑事责任。</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《中华人民共和国招标投标法实施条例》第六十八条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投标人有下列行为之一的，属于招标投标法第五十四条规定的情节严重行为，由有关行政监督部门取消其1年至3年内参加依法必须进行招标的项目的投标资格：</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（一）伪造、变造资格、资质证书或者其他许可证件骗取中标；</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（二）3年内2次以上使用他人名义投标；</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（三）弄虚作假骗取中标给招标人造成直接经济损失30万元以上；</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（四）其他弄虚作假骗取中标情节严重的行为。</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投标人自本条第二款规定的处罚执行期限届满之日起3年内又有该款所列违法行为之一的，或者弄虚作假骗取中标情节特别严重的，由工商行政管理机关吊销营业执照。</w:t>
            </w:r>
          </w:p>
        </w:tc>
        <w:tc>
          <w:tcPr>
            <w:tcW w:w="1101" w:type="dxa"/>
            <w:gridSpan w:val="3"/>
            <w:tcBorders>
              <w:tl2br w:val="nil"/>
              <w:tr2bl w:val="nil"/>
            </w:tcBorders>
            <w:tcMar>
              <w:top w:w="15" w:type="dxa"/>
              <w:left w:w="15" w:type="dxa"/>
              <w:bottom w:w="15" w:type="dxa"/>
              <w:right w:w="15" w:type="dxa"/>
            </w:tcMar>
            <w:vAlign w:val="center"/>
          </w:tcPr>
          <w:p>
            <w:pPr>
              <w:widowControl/>
              <w:spacing w:before="100" w:beforeAutospacing="1" w:after="100" w:afterAutospacing="1"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3年内以他人名义投标或以其他方式弄虚作假投标1次的。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对投标人处中标项目金额千分之五以上千分之七点五以下的罚款，对单位直接负责的主管人员和其他直接责任人员处单位罚款数额百分之五以上百分之七点五以下的罚款；有违法所得的，并处没收违法所得。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p>
            <w:pPr>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3年内2次使用他人名义投标或以其他方式弄虚作假的。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对投标人处中标项目金额千分之七点五以上千分之十以下的罚款，对单位直接负责的主管人员和其他直接责任人员处单位罚款数额百分之七点五以上百分之十以下的罚款；有违法所得的，并处没收违法所得。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3"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（1）伪造、变造资格、资质证书或者其他许可证件骗取中标；</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 xml:space="preserve">  （2）3年内2次以上使用他人名义投标；</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（3）弄虚作假骗取中标给招标人造成直接经济损失30万元以上；</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 xml:space="preserve">  （4）其他弄虚作假骗取中标情节严重的行为的。</w:t>
            </w:r>
          </w:p>
        </w:tc>
        <w:tc>
          <w:tcPr>
            <w:tcW w:w="3337" w:type="dxa"/>
            <w:gridSpan w:val="2"/>
            <w:tcBorders>
              <w:tl2br w:val="nil"/>
              <w:tr2bl w:val="nil"/>
            </w:tcBorders>
            <w:tcMar>
              <w:top w:w="15" w:type="dxa"/>
              <w:left w:w="15" w:type="dxa"/>
              <w:bottom w:w="15" w:type="dxa"/>
              <w:right w:w="15" w:type="dxa"/>
            </w:tcMar>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骗取中标的，中标无效；对投标人处中标项目金额千分之十的罚款，对单位直接负责的主管人员和其他直接责任人员处单位罚款数额百分之十的罚款；有违法所得的，并处没收违法所得；取消其1年至3年内参加依法必须进行招标的项目的投标资格。</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0" w:lineRule="atLeas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7</w:t>
            </w:r>
          </w:p>
        </w:tc>
        <w:tc>
          <w:tcPr>
            <w:tcW w:w="137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评标委员会成员收受投标人的财物或者其他好处的，评标委员会成员或者参加评标的有关工作人员向他人透露对投标文件的评审和比较、中标候选人的推荐以及与评标有关的其他情况的</w:t>
            </w:r>
          </w:p>
        </w:tc>
        <w:tc>
          <w:tcPr>
            <w:tcW w:w="1128"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《中华人民共和国招标投标法》第四十四条</w:t>
            </w:r>
          </w:p>
        </w:tc>
        <w:tc>
          <w:tcPr>
            <w:tcW w:w="4354"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《中华人民共和国招标投标法》第五十六条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评标委员会成员收受投标人的财物或者其他好处的，评标委员会成员或者参加评标的有关工作人员向他人透露对投标文件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《中华人民共和国招标投标法实施条例》第七十二条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评标委员会成员收受投标人的财物或者其他好处的，没收收受的财物，处3000元以上5万元以下的罚款，取消担任评标委员会成员的资格，不得再参加依法必须进行招标的项目的评标；构成犯罪的，依法追究刑事责任。</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尚未影响到招标活动正常进行的。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给予警告，没收收受的财物,可以处3千元以上2万元以下的罚款；取消担任评标委员会成员的资格，不得再参加任何依法必须进行招标的项目的评标。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影响到招标活动正常进行的。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给予警告，没收收受的财物,处2万元以上4万元以下的罚款；取消担任评标委员会成员的资格，不得再参加任何依法必须进行招标的项目的评标。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82"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(1)导致中标结果无效的；</w:t>
            </w:r>
          </w:p>
          <w:p>
            <w:pPr>
              <w:spacing w:line="240" w:lineRule="auto"/>
              <w:ind w:firstLine="21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(2)其他情节恶劣，或造成严重后果的。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给予警告，没收收受的财物,处4万元以上5万元以下的罚款；取消担任评标委员会成员的资格，不得再参加任何依法必须进行招标的项目的评标。</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spacing w:line="0" w:lineRule="atLeast"/>
              <w:ind w:firstLine="105" w:firstLineChars="5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8</w:t>
            </w:r>
          </w:p>
        </w:tc>
        <w:tc>
          <w:tcPr>
            <w:tcW w:w="1376"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招标人在评标委员会依法推荐的中标候选人以外确定中标人的、依法必须进行招标的项目在所有投标被评标委员会否决后自行确定中标人的</w:t>
            </w:r>
          </w:p>
        </w:tc>
        <w:tc>
          <w:tcPr>
            <w:tcW w:w="1128"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《中华人民共和国招标投标法》第四十条第二款</w:t>
            </w:r>
          </w:p>
        </w:tc>
        <w:tc>
          <w:tcPr>
            <w:tcW w:w="4354"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《中华人民共和国招标投标法》第五十七条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及时纠正，未造成严重后果的。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中标无效；责令改正，可以处中标项目金额千分之五以上千分之六点五以下的罚款。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未及时纠正，未造成严重后果的。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中标无效；责令改正，处中标项目金额千分之六点五以上千分之八点五以下的罚款。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未及时纠正，造成严重危害后果的。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中标无效；责令改正，处中标项目金额千分之八点五以上千分之十以下的罚款。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spacing w:line="0" w:lineRule="atLeast"/>
              <w:jc w:val="center"/>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0" w:lineRule="atLeast"/>
              <w:jc w:val="center"/>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0" w:lineRule="atLeast"/>
              <w:jc w:val="center"/>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0" w:lineRule="atLeas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9</w:t>
            </w:r>
          </w:p>
        </w:tc>
        <w:tc>
          <w:tcPr>
            <w:tcW w:w="137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中标人将中标项目转让给他人的，将中标项目肢解后分别转让给他人的，违反本法规定将中标项目的部分主体、关键性工作分包给他人的，或者分包人再次分包的</w:t>
            </w:r>
          </w:p>
        </w:tc>
        <w:tc>
          <w:tcPr>
            <w:tcW w:w="1128"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《中华人民共和国招标投标法》第四十八条</w:t>
            </w:r>
          </w:p>
        </w:tc>
        <w:tc>
          <w:tcPr>
            <w:tcW w:w="4354"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《中华人民共和国招标投标法》第五十八条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pStyle w:val="11"/>
              <w:spacing w:after="0" w:afterAutospacing="0" w:line="240" w:lineRule="auto"/>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《中华人民共和国招标投标法实施条例》第七十六条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37"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转让、分包无效，处转让、分包项目金额千分之五以上千分之六点五以下的罚款；有违法所得的，并处没收违法所得。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24"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337"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转让、分包无效，处转让、分包项目金额千分之六点五以上千分之八点五以下的罚款, 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645"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（1）造成一般质量、安全事故的。</w:t>
            </w:r>
          </w:p>
        </w:tc>
        <w:tc>
          <w:tcPr>
            <w:tcW w:w="3337"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转让、分包无效，处转让、分包项目金额千分之八点五以上千分之十以下的罚款； 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66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（2）3年内2次同类型违法的。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转让、分包无效，处转让、分包项目金额千分之十的罚款；责令停业整顿30日；有违法所得的，并处没收违法所得。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4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561" w:type="dxa"/>
            <w:vMerge w:val="restart"/>
            <w:tcBorders>
              <w:tl2br w:val="nil"/>
              <w:tr2bl w:val="nil"/>
            </w:tcBorders>
            <w:tcMar>
              <w:top w:w="15" w:type="dxa"/>
              <w:left w:w="15" w:type="dxa"/>
              <w:bottom w:w="15" w:type="dxa"/>
              <w:right w:w="15" w:type="dxa"/>
            </w:tcMar>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（3）3年内3次以上同类型违法；或造成较大质量、安全事故的。</w:t>
            </w:r>
          </w:p>
        </w:tc>
        <w:tc>
          <w:tcPr>
            <w:tcW w:w="1420"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①造成3人以上5人以下死亡，或者10人以上20人以下重伤，或者1000万元以上2000万元以下直接经济损失的。</w:t>
            </w:r>
          </w:p>
        </w:tc>
        <w:tc>
          <w:tcPr>
            <w:tcW w:w="3337"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转让、分包无效，处转让、分包项目金额千分之十的罚款；责令停业整顿30—60日；有违法所得的，并处没收违法所得。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561" w:type="dxa"/>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420"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②造成5人以上7人以下死亡，或者20人以上30人以下重伤，或者2000万元以上3000万元以下直接经济损失的。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转让、分包无效，处转让、分包项目金额千分之十的罚款；责令停业整顿60—90日；有违法所得的，并处没收违法所得。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25"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561" w:type="dxa"/>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420"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③造成7人以上10人以下死亡，或者30人以上50人以下重伤，或者3000万元以上直接经济损失的。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转让、分包无效，处转让、分包项目金额千分之十的罚款；责令停业整顿90—180日；有违法所得的，并处没收违法所得。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jc w:val="center"/>
        </w:trPr>
        <w:tc>
          <w:tcPr>
            <w:tcW w:w="533" w:type="dxa"/>
            <w:gridSpan w:val="2"/>
            <w:vMerge w:val="restart"/>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10</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招标人与中标人不按照招标文件和中标人的投标文件订立合同的，或者招标人、中标人订立背离合同实质性内容的协议的</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《中华人民共和国招标投标法》第四十六条第一款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《中华人民共和国招标投标法》第五十九条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招标人与中标人不按照招标文件和中标人的投标文件订立合同的，或者招标人、中标人订立背离合同实质性内容的协议的，责令改正；可以处中标项目金额千分之五以上千分之十以下的罚款。</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责令改正，处中标项目金额千分之五以上千分之八以下的罚款。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（4）经有关部门确认，存在商业贿赂情形的；（5）其他依法应予从重处罚的情形。</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责令改正，处中标项目金额千分之八以上千分之十以下的罚款。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spacing w:line="0" w:lineRule="atLeas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11</w:t>
            </w:r>
          </w:p>
        </w:tc>
        <w:tc>
          <w:tcPr>
            <w:tcW w:w="1376" w:type="dxa"/>
            <w:gridSpan w:val="2"/>
            <w:vMerge w:val="restart"/>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中标人不按照与招标人订立的合同履行义务，情节严重</w:t>
            </w:r>
          </w:p>
        </w:tc>
        <w:tc>
          <w:tcPr>
            <w:tcW w:w="1128"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《中华人民共和国招标投标法》第四十八条第一款</w:t>
            </w:r>
          </w:p>
        </w:tc>
        <w:tc>
          <w:tcPr>
            <w:tcW w:w="4354"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《中华人民共和国招标投标法》第六十条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人不履行与招标人订立的合同的，履约保证金不予退还，给招标人造成的损失超过履约保证金数额的，还应当对超过部分予以赔偿；没有提交履约保证金的，应当对招标人的损失承担赔偿责任。中标人不按照与招标人订立的合同履行义务，情节严重的，取消其二年至五年内参加依法必须进行招标的项目的投标资格并予以公告，直至由工商行政管理机关吊销营业执照。因不可抗力不能履行合同的，不适用前两款规定。</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取消其2年至3年内参加依法必须进行招标的项目的投标资格并予以公告。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取消其3年至4年内参加依法必须进行招标的项目的投标资格并予以公告。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（3）经有关部门确认，存在商业贿赂情形的；（4）其他依法应予从重处罚的情形。</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取消其4年至5年内参加依法必须进行招标的项目的投标资格并予以公告。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4" w:hRule="atLeast"/>
          <w:jc w:val="center"/>
        </w:trPr>
        <w:tc>
          <w:tcPr>
            <w:tcW w:w="533" w:type="dxa"/>
            <w:gridSpan w:val="2"/>
            <w:vMerge w:val="restart"/>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12</w:t>
            </w:r>
          </w:p>
        </w:tc>
        <w:tc>
          <w:tcPr>
            <w:tcW w:w="1376" w:type="dxa"/>
            <w:gridSpan w:val="2"/>
            <w:vMerge w:val="restart"/>
            <w:tcBorders>
              <w:tl2br w:val="nil"/>
              <w:tr2bl w:val="nil"/>
            </w:tcBorders>
            <w:vAlign w:val="center"/>
          </w:tcPr>
          <w:p>
            <w:pPr>
              <w:pStyle w:val="11"/>
              <w:spacing w:line="240" w:lineRule="auto"/>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依法应当公开招标的项目不按照规定在指定媒介发布资格预审公告或者招标公告</w:t>
            </w:r>
          </w:p>
        </w:tc>
        <w:tc>
          <w:tcPr>
            <w:tcW w:w="1128" w:type="dxa"/>
            <w:gridSpan w:val="2"/>
            <w:vMerge w:val="restart"/>
            <w:tcBorders>
              <w:tl2br w:val="nil"/>
              <w:tr2bl w:val="nil"/>
            </w:tcBorders>
            <w:vAlign w:val="center"/>
          </w:tcPr>
          <w:p>
            <w:pPr>
              <w:pStyle w:val="11"/>
              <w:spacing w:line="240" w:lineRule="auto"/>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《中华人民共和国招标投标法实施条例》第十五条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《中华人民共和国招标投标法实施条例》第六十三条第一款</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招标人有下列限制或者排斥潜在投标人行为之一的，由有关行政监督部门依照招标投标法第五十一条的规定处罚：</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（一）依法应当公开招标的项目不按照规定在指定媒介发布资格预审公告或者招标公告；</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《中华人民共和国招标投标法》第五十一条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招标人以不合理的条件限制或者排斥潜在投标人的，对潜在投标人实行歧视待遇的，强制要求投标人组成联合体共同投标的，或者限制投标人之间竞争的，责令改正，可以处一万元以上五万元以下的罚款。</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已发出邀请招标文件，但尚未组织评标。</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4"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pStyle w:val="11"/>
              <w:spacing w:line="240" w:lineRule="auto"/>
              <w:rPr>
                <w:rFonts w:ascii="仿宋_GB2312" w:eastAsia="仿宋_GB2312" w:cstheme="minorBidi"/>
                <w:color w:val="000000" w:themeColor="text1"/>
                <w:sz w:val="21"/>
                <w:szCs w:val="21"/>
                <w14:textFill>
                  <w14:solidFill>
                    <w14:schemeClr w14:val="tx1"/>
                  </w14:solidFill>
                </w14:textFill>
              </w:rPr>
            </w:pPr>
          </w:p>
        </w:tc>
        <w:tc>
          <w:tcPr>
            <w:tcW w:w="1128"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已组织评标或者签订合同，但未履行合同约定事项。</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责令改正，可以处2万元以上4万元以下的罚款。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3"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pStyle w:val="11"/>
              <w:spacing w:line="240" w:lineRule="auto"/>
              <w:rPr>
                <w:rFonts w:ascii="仿宋_GB2312" w:eastAsia="仿宋_GB2312" w:cstheme="minorBidi"/>
                <w:color w:val="000000" w:themeColor="text1"/>
                <w:sz w:val="21"/>
                <w:szCs w:val="21"/>
                <w14:textFill>
                  <w14:solidFill>
                    <w14:schemeClr w14:val="tx1"/>
                  </w14:solidFill>
                </w14:textFill>
              </w:rPr>
            </w:pPr>
          </w:p>
        </w:tc>
        <w:tc>
          <w:tcPr>
            <w:tcW w:w="1128"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已履行合同约定事项；</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其他情节恶劣，或造成严重后果的。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责令改正，处4万元以上5万元以下的罚款。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5"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spacing w:line="0" w:lineRule="atLeast"/>
              <w:jc w:val="center"/>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0" w:lineRule="atLeast"/>
              <w:jc w:val="center"/>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0" w:lineRule="atLeast"/>
              <w:jc w:val="center"/>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0" w:lineRule="atLeas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13</w:t>
            </w:r>
          </w:p>
        </w:tc>
        <w:tc>
          <w:tcPr>
            <w:tcW w:w="1376" w:type="dxa"/>
            <w:gridSpan w:val="2"/>
            <w:vMerge w:val="restart"/>
            <w:tcBorders>
              <w:tl2br w:val="nil"/>
              <w:tr2bl w:val="nil"/>
            </w:tcBorders>
            <w:tcMar>
              <w:top w:w="15" w:type="dxa"/>
              <w:left w:w="15" w:type="dxa"/>
              <w:bottom w:w="15" w:type="dxa"/>
              <w:right w:w="15" w:type="dxa"/>
            </w:tcMar>
            <w:vAlign w:val="center"/>
          </w:tcPr>
          <w:p>
            <w:pPr>
              <w:pStyle w:val="11"/>
              <w:spacing w:line="240" w:lineRule="auto"/>
              <w:rPr>
                <w:rFonts w:ascii="仿宋_GB2312" w:eastAsia="仿宋_GB2312" w:cstheme="minorBidi"/>
                <w:color w:val="000000" w:themeColor="text1"/>
                <w:sz w:val="21"/>
                <w:szCs w:val="21"/>
                <w14:textFill>
                  <w14:solidFill>
                    <w14:schemeClr w14:val="tx1"/>
                  </w14:solidFill>
                </w14:textFill>
              </w:rPr>
            </w:pPr>
          </w:p>
          <w:p>
            <w:pPr>
              <w:pStyle w:val="11"/>
              <w:spacing w:line="240" w:lineRule="auto"/>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在不同媒介发布的同一招标项目的资格预审公告或者招标公告的内容不一致，影响潜在投标人申请资格预审或者投标</w:t>
            </w:r>
          </w:p>
        </w:tc>
        <w:tc>
          <w:tcPr>
            <w:tcW w:w="1128" w:type="dxa"/>
            <w:gridSpan w:val="2"/>
            <w:vMerge w:val="restart"/>
            <w:tcBorders>
              <w:tl2br w:val="nil"/>
              <w:tr2bl w:val="nil"/>
            </w:tcBorders>
            <w:tcMar>
              <w:top w:w="15" w:type="dxa"/>
              <w:left w:w="15" w:type="dxa"/>
              <w:bottom w:w="15" w:type="dxa"/>
              <w:right w:w="15" w:type="dxa"/>
            </w:tcMar>
            <w:vAlign w:val="center"/>
          </w:tcPr>
          <w:p>
            <w:pPr>
              <w:pStyle w:val="11"/>
              <w:spacing w:line="240" w:lineRule="auto"/>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《中华人民共和国招标投标法》第十六条/《中华人民共和国招标投标法实施条例》第十五条</w:t>
            </w:r>
          </w:p>
        </w:tc>
        <w:tc>
          <w:tcPr>
            <w:tcW w:w="4354" w:type="dxa"/>
            <w:gridSpan w:val="4"/>
            <w:vMerge w:val="restart"/>
            <w:tcBorders>
              <w:tl2br w:val="nil"/>
              <w:tr2bl w:val="nil"/>
            </w:tcBorders>
            <w:tcMar>
              <w:top w:w="15" w:type="dxa"/>
              <w:left w:w="15" w:type="dxa"/>
              <w:bottom w:w="15" w:type="dxa"/>
              <w:right w:w="15" w:type="dxa"/>
            </w:tcMar>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《中华人民共和国招标投标法实施条例》第六十三条第二款</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招标人有下列限制或者排斥潜在投标人行为之一的，由有关行政监督部门依照招标投标法第五十一条的规定处罚：</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（二）在不同媒介发布的同一招标项目的资格预审公告或者招标公告的内容不一致，影响潜在投标人申请资格预审或者投标。</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《中华人民共和国招标投标法》第五十一条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招标人以不合理的条件限制或者排斥潜在投标人的，对潜在投标人实行歧视待遇的，强制要求投标人组成联合体共同投标的，或者限制投标人之间竞争的，责令改正，可以处一万元以上五万元以下的罚款</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已发出邀请招标文件，但尚未组织评标。</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已组织评标或者签订合同，但未履行合同约定事项。</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责令改正，处2万元以上4万元以下的罚款。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4"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已履行合同约定事项；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其他情节恶劣，或造成严重后果的。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责令改正，处4万元以上5万元以下的罚款。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8" w:hRule="atLeast"/>
          <w:jc w:val="center"/>
        </w:trPr>
        <w:tc>
          <w:tcPr>
            <w:tcW w:w="533" w:type="dxa"/>
            <w:gridSpan w:val="2"/>
            <w:vMerge w:val="restart"/>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14</w:t>
            </w:r>
          </w:p>
        </w:tc>
        <w:tc>
          <w:tcPr>
            <w:tcW w:w="1376" w:type="dxa"/>
            <w:gridSpan w:val="2"/>
            <w:vMerge w:val="restart"/>
            <w:tcBorders>
              <w:tl2br w:val="nil"/>
              <w:tr2bl w:val="nil"/>
            </w:tcBorders>
            <w:vAlign w:val="center"/>
          </w:tcPr>
          <w:p>
            <w:pPr>
              <w:pStyle w:val="11"/>
              <w:spacing w:line="240" w:lineRule="auto"/>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依法必须进行招标的项目的招标人不按照规定发布资格预审公告或者招标公告，构成规避招标</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《中华人民共和国招标投标法》第三条/第四条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《中华人民共和国招标投标法实施条例》第六十三条第三款</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依法必须进行招标的项目的招标人不按照规定发布资格预审公告或者招标公告，构成规避招标的，依照招标投标法第四十九条的规定处罚。</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《中华人民共和国招标投标法》第四十九条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tc>
        <w:tc>
          <w:tcPr>
            <w:tcW w:w="1101" w:type="dxa"/>
            <w:gridSpan w:val="3"/>
            <w:tcBorders>
              <w:tl2br w:val="nil"/>
              <w:tr2bl w:val="nil"/>
            </w:tcBorders>
            <w:tcMar>
              <w:top w:w="15" w:type="dxa"/>
              <w:left w:w="15" w:type="dxa"/>
              <w:bottom w:w="15" w:type="dxa"/>
              <w:right w:w="15" w:type="dxa"/>
            </w:tcMar>
            <w:vAlign w:val="center"/>
          </w:tcPr>
          <w:p>
            <w:pPr>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项目尚未开工，及时纠正的。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责令改正，可以处项目合同金额千分之五的罚款。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9"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pStyle w:val="11"/>
              <w:spacing w:line="240" w:lineRule="auto"/>
              <w:rPr>
                <w:rFonts w:ascii="仿宋_GB2312" w:eastAsia="仿宋_GB2312" w:cstheme="minorBidi"/>
                <w:color w:val="000000" w:themeColor="text1"/>
                <w:sz w:val="21"/>
                <w:szCs w:val="21"/>
                <w14:textFill>
                  <w14:solidFill>
                    <w14:schemeClr w14:val="tx1"/>
                  </w14:solidFill>
                </w14:textFill>
              </w:rPr>
            </w:pPr>
          </w:p>
        </w:tc>
        <w:tc>
          <w:tcPr>
            <w:tcW w:w="1128"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项目已经开工，及时纠正的。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责令改正，可以处项目合同金额千分之五以上千分之七点五以下的罚款。</w:t>
            </w: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pStyle w:val="11"/>
              <w:spacing w:line="240" w:lineRule="auto"/>
              <w:rPr>
                <w:rFonts w:ascii="仿宋_GB2312" w:eastAsia="仿宋_GB2312" w:cstheme="minorBidi"/>
                <w:color w:val="000000" w:themeColor="text1"/>
                <w:sz w:val="21"/>
                <w:szCs w:val="21"/>
                <w14:textFill>
                  <w14:solidFill>
                    <w14:schemeClr w14:val="tx1"/>
                  </w14:solidFill>
                </w14:textFill>
              </w:rPr>
            </w:pPr>
          </w:p>
        </w:tc>
        <w:tc>
          <w:tcPr>
            <w:tcW w:w="1128"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责令改正，可以处项目合同金额千分之七点五以上千分之八点五以下的罚款。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pStyle w:val="11"/>
              <w:spacing w:line="240" w:lineRule="auto"/>
              <w:rPr>
                <w:rFonts w:ascii="仿宋_GB2312" w:eastAsia="仿宋_GB2312" w:cstheme="minorBidi"/>
                <w:color w:val="000000" w:themeColor="text1"/>
                <w:sz w:val="21"/>
                <w:szCs w:val="21"/>
                <w14:textFill>
                  <w14:solidFill>
                    <w14:schemeClr w14:val="tx1"/>
                  </w14:solidFill>
                </w14:textFill>
              </w:rPr>
            </w:pPr>
          </w:p>
        </w:tc>
        <w:tc>
          <w:tcPr>
            <w:tcW w:w="1128"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（2）项目已经开工，且造成严重后果的。</w:t>
            </w:r>
          </w:p>
        </w:tc>
        <w:tc>
          <w:tcPr>
            <w:tcW w:w="3337"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责令改正，可以处项目合同金额千分之八点五以上千分之十以下的罚款。</w:t>
            </w:r>
          </w:p>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jc w:val="center"/>
        </w:trPr>
        <w:tc>
          <w:tcPr>
            <w:tcW w:w="533" w:type="dxa"/>
            <w:gridSpan w:val="2"/>
            <w:vMerge w:val="restart"/>
            <w:tcBorders>
              <w:tl2br w:val="nil"/>
              <w:tr2bl w:val="nil"/>
            </w:tcBorders>
            <w:vAlign w:val="center"/>
          </w:tcPr>
          <w:p>
            <w:pPr>
              <w:widowControl/>
              <w:spacing w:line="0" w:lineRule="atLeast"/>
              <w:rPr>
                <w:rFonts w:ascii="仿宋_GB2312" w:hAnsi="宋体" w:eastAsia="仿宋_GB2312" w:cs="Times New Roman"/>
                <w:color w:val="000000" w:themeColor="text1"/>
                <w:szCs w:val="21"/>
                <w14:textFill>
                  <w14:solidFill>
                    <w14:schemeClr w14:val="tx1"/>
                  </w14:solidFill>
                </w14:textFill>
              </w:rPr>
            </w:pPr>
          </w:p>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15</w:t>
            </w:r>
          </w:p>
        </w:tc>
        <w:tc>
          <w:tcPr>
            <w:tcW w:w="1376" w:type="dxa"/>
            <w:gridSpan w:val="2"/>
            <w:vMerge w:val="restart"/>
            <w:tcBorders>
              <w:tl2br w:val="nil"/>
              <w:tr2bl w:val="nil"/>
            </w:tcBorders>
            <w:vAlign w:val="center"/>
          </w:tcPr>
          <w:p>
            <w:pPr>
              <w:pStyle w:val="11"/>
              <w:spacing w:line="240" w:lineRule="auto"/>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1、依法应当公开招标而采用邀请招标的；</w:t>
            </w:r>
          </w:p>
          <w:p>
            <w:pPr>
              <w:pStyle w:val="11"/>
              <w:spacing w:line="240" w:lineRule="auto"/>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2、招标文件、资格预审文件的发售、澄清、修改的时限，或者确定的提交资格预审申请文件、投标文件的时限不符合招标投标法和实施条例规定的；</w:t>
            </w:r>
          </w:p>
          <w:p>
            <w:pPr>
              <w:pStyle w:val="11"/>
              <w:spacing w:line="240" w:lineRule="auto"/>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3、招标人接受未通过资格预审的单位或者个人参加投标的；</w:t>
            </w:r>
          </w:p>
          <w:p>
            <w:pPr>
              <w:pStyle w:val="11"/>
              <w:spacing w:line="240" w:lineRule="auto"/>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4、招标人接受应当拒收的投标文件的</w:t>
            </w:r>
          </w:p>
        </w:tc>
        <w:tc>
          <w:tcPr>
            <w:tcW w:w="1128"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《中华人民共和国招标投标法实施条例》（国务院令第613号）第六十四条</w:t>
            </w:r>
          </w:p>
        </w:tc>
        <w:tc>
          <w:tcPr>
            <w:tcW w:w="4354"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《中华人民共和国招标投标法实施条例》第六十四条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有下列情形之一的，由有关行政监督部门责令改正，可以处10万元以下的罚款：（一）依法应当公开招标而采用邀请招标；（二）招标文件、资格预审文件的发售、澄清、修改的时限，或者确定的提交资格预审申请文件、投标文件的时限不符合招标投标法和本条例规定；（三）接受未通过资格预审的单位或者个人参加投标；（四）接受应当拒收的投标文件。招标人有前款第一项、第三项、第四项所列行为之一的，对单位直接负责的主管人员和其他直接责任人员依法给予处分。</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在开标前发现的。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097"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在开标后但在开工前发现的。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责令改正，可以处2万元以上7万元以下罚款。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005"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(1)在开工后发现的；</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(2)其他情节恶劣，或造成严重后果的违法行为。</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责令改正，可以处7万元以上10万元以下的罚款。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246" w:hRule="atLeast"/>
          <w:jc w:val="center"/>
        </w:trPr>
        <w:tc>
          <w:tcPr>
            <w:tcW w:w="533" w:type="dxa"/>
            <w:gridSpan w:val="2"/>
            <w:vMerge w:val="restart"/>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16</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招标代理机构在所代理的招标项目中投标、代理投标或者向该项目投标人提供咨询的，接受委托编制标底的中介机构参加受托编制标底项目的投标或者为该项目的投标人编制投标文件、提供咨询</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《中华人民共和国招标投标法实施条例》第二十七条第二款</w:t>
            </w:r>
          </w:p>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《中华人民共和国招标投标法实施条例》第六十五条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《中华人民共和国招标投标法》第五十条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前款所列行为影响中标结果的，中标无效。</w:t>
            </w:r>
          </w:p>
        </w:tc>
        <w:tc>
          <w:tcPr>
            <w:tcW w:w="1101" w:type="dxa"/>
            <w:gridSpan w:val="3"/>
            <w:tcBorders>
              <w:tl2br w:val="nil"/>
              <w:tr2bl w:val="nil"/>
            </w:tcBorders>
            <w:tcMar>
              <w:top w:w="15" w:type="dxa"/>
              <w:left w:w="15" w:type="dxa"/>
              <w:bottom w:w="15" w:type="dxa"/>
              <w:right w:w="15" w:type="dxa"/>
            </w:tcMar>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未影响中标结果的。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处5万元以上8万元以下的罚款，对单位直接负责的主管人员和其他直接责任人员处单位罚款金额的百分之五以上百分之六以下的罚款；有违法所得的，并处没收违法所得。</w:t>
            </w:r>
          </w:p>
          <w:p>
            <w:pPr>
              <w:spacing w:line="240" w:lineRule="auto"/>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4"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影响中标结果，但中标人不是该违法行为的受益人的。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处8万元以上20万元以下的罚款，对单位直接负责的主管人员和其他直接责任人员处单位罚款金额的百分之六以上百分之八以下的罚款；有违法所得的，并处没收违法所得；禁止其一年内代理依法必须进行招投标的项目，并予公告。</w:t>
            </w:r>
          </w:p>
          <w:p>
            <w:pPr>
              <w:spacing w:line="240" w:lineRule="auto"/>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2"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vMerge w:val="restart"/>
            <w:tcBorders>
              <w:tl2br w:val="nil"/>
              <w:tr2bl w:val="nil"/>
            </w:tcBorders>
            <w:tcMar>
              <w:top w:w="15" w:type="dxa"/>
              <w:left w:w="15" w:type="dxa"/>
              <w:bottom w:w="15" w:type="dxa"/>
              <w:right w:w="15" w:type="dxa"/>
            </w:tcMar>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（1）影响中标结果，且中标人为该违法行为的受益人的。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处20万元以上25万元以下的罚款，对单位直接负责的主管人员和其他直接责任人员处单位罚款金额百分之八以上百分之十以下的罚款；有违法所得的，并处没收违法所得；禁止其一年零六个月内代理依法必须进行招投标的项目，并予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vMerge w:val="continue"/>
            <w:tcBorders>
              <w:tl2br w:val="nil"/>
              <w:tr2bl w:val="nil"/>
            </w:tcBorders>
            <w:tcMar>
              <w:top w:w="15" w:type="dxa"/>
              <w:left w:w="15" w:type="dxa"/>
              <w:bottom w:w="15" w:type="dxa"/>
              <w:right w:w="15" w:type="dxa"/>
            </w:tcMar>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（2）对国家利益、社会公共利益或者他人合法权益造成重大损失，造成重大后果，情节严重的。</w:t>
            </w:r>
          </w:p>
        </w:tc>
        <w:tc>
          <w:tcPr>
            <w:tcW w:w="3337"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处20万元以上25万元以下的罚款，对单位直接负责的主管人员和其他直接责任人员处单位罚款金额百分之八以上百分之十以下的罚款；禁止其二年内代理依法必须进行招投标的项目，并予公告。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3" w:type="dxa"/>
            <w:gridSpan w:val="2"/>
            <w:vMerge w:val="restart"/>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17</w:t>
            </w:r>
          </w:p>
        </w:tc>
        <w:tc>
          <w:tcPr>
            <w:tcW w:w="1376"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招标人超过本条例规定的比例收取投标保证金、履约保证金或者不按照规定退还投标保证金及银行同期存款利息的</w:t>
            </w:r>
          </w:p>
        </w:tc>
        <w:tc>
          <w:tcPr>
            <w:tcW w:w="1128"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《中华人民共和国招标投标法实施条例》第二十六条/第三十一条/第三十五条/第五十七条/第五十八条</w:t>
            </w:r>
          </w:p>
        </w:tc>
        <w:tc>
          <w:tcPr>
            <w:tcW w:w="4354"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《中华人民共和国招标投标法实施条例》第六十六条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66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责令改正，可以处1万元以上3.5万元以下的罚款。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75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责令改正，可以处3.5万元以上5万元以下的罚款。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705" w:hRule="atLeast"/>
          <w:jc w:val="center"/>
        </w:trPr>
        <w:tc>
          <w:tcPr>
            <w:tcW w:w="533" w:type="dxa"/>
            <w:gridSpan w:val="2"/>
            <w:vMerge w:val="restart"/>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18</w:t>
            </w:r>
          </w:p>
        </w:tc>
        <w:tc>
          <w:tcPr>
            <w:tcW w:w="1376"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依法必须进行招标的项目的招标人不按照规定组建评标委员会，或者确定、更换评标委员会成员违反招标投标法和本条例规定的</w:t>
            </w:r>
          </w:p>
        </w:tc>
        <w:tc>
          <w:tcPr>
            <w:tcW w:w="1128"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《中华人民共和国招标投标法实施条例》（国务院令第613号）第七十条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《中华人民共和国招标投标法实施条例》第七十条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责令改正，可以处2万元以下的罚款，对单位直接负责的主管人员和其他直接责任人员依法给予处分；违法确定或者更换的评标委员会成员作出的评审结论无效，依法重新进行评审。</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5"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责令改正，处2万元以上7万元以下的罚款；对单位直接负责的主管人员和其他直接责任人员依法给予处分；违法确定或者更换的评标委员会成员作出的评审结论无效，依法重新进行评审。</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责令改正，处7万元以上10万元以下的罚款；对单位直接负责的主管人员和其他直接责任人员依法给予处分；违法确定或者更换的评标委员会成员作出的评审结论无效，依法重新进行评审。</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4" w:hRule="atLeast"/>
          <w:jc w:val="center"/>
        </w:trPr>
        <w:tc>
          <w:tcPr>
            <w:tcW w:w="533" w:type="dxa"/>
            <w:gridSpan w:val="2"/>
            <w:vMerge w:val="restart"/>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19</w:t>
            </w:r>
          </w:p>
        </w:tc>
        <w:tc>
          <w:tcPr>
            <w:tcW w:w="1376"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评标委员会成员收受投标人的财物或者其他好处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《中华人民共和国招标投标法实施条例》第四十九条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《中华人民共和国招标投标法实施条例》第七十二条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评标委员会成员收受投标人的财物或者其他好处的，没收收受的财物，处3000元以上5万元以下的罚款，取消担任评标委员会成员的资格，不得再参加依法必须进行招标的项目的评标；构成犯罪的，依法追究刑事责任。</w:t>
            </w:r>
          </w:p>
        </w:tc>
        <w:tc>
          <w:tcPr>
            <w:tcW w:w="1101" w:type="dxa"/>
            <w:gridSpan w:val="3"/>
            <w:tcBorders>
              <w:tl2br w:val="nil"/>
              <w:tr2bl w:val="nil"/>
            </w:tcBorders>
            <w:tcMar>
              <w:top w:w="15" w:type="dxa"/>
              <w:left w:w="15" w:type="dxa"/>
              <w:bottom w:w="15" w:type="dxa"/>
              <w:right w:w="15" w:type="dxa"/>
            </w:tcMar>
            <w:vAlign w:val="center"/>
          </w:tcPr>
          <w:p>
            <w:pPr>
              <w:widowControl/>
              <w:spacing w:before="100" w:beforeAutospacing="1" w:after="100" w:afterAutospacing="1"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尚未影响到招标活动正常进行的。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没收收受的财物，处3000元以上2万元以下的罚款；取消担任评标委员会成员的资格，不得再参加依法必须进行招标的项目的评标。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9"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before="100" w:beforeAutospacing="1" w:after="100" w:afterAutospacing="1"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影响到招标活动正常进行的。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没收收受的财物，处2万元以上4万元以下的罚款；取消担任评标委员会成员的资格，不得再参加依法必须进行招标的项目的评标。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before="100" w:beforeAutospacing="1" w:after="100" w:afterAutospacing="1"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(1)导致中标结果无效的；</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(2)其他情节恶劣，或造成严重后果的违法行为。</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没收收受的财物，处4万元以上5万元以下的罚款；取消担任评标委员会成员的资格，不得再参加依法必须进行招标的项目的评标。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1" w:hRule="atLeast"/>
          <w:jc w:val="center"/>
        </w:trPr>
        <w:tc>
          <w:tcPr>
            <w:tcW w:w="533" w:type="dxa"/>
            <w:gridSpan w:val="2"/>
            <w:vMerge w:val="restart"/>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20</w:t>
            </w:r>
          </w:p>
        </w:tc>
        <w:tc>
          <w:tcPr>
            <w:tcW w:w="1376"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1、依法必须进行招标的项目的招标人放弃中标项目的不发出中标通知书的；</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2、依法必须进行招标的项目的招标人不按照规定确定中标人的；</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3、依法必须进行招标的项目的招标人在中标通知书发出后无正当理由改变中标结果的；</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4、依法必须进行招标的项目的招标人无正当理由不与中标人订立合同的；</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5、依法必须进行招标的项目的招标人在订立合同时向中标人提出附加条件的</w:t>
            </w:r>
          </w:p>
        </w:tc>
        <w:tc>
          <w:tcPr>
            <w:tcW w:w="1128"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《中华人民共和国招标投标法实施条例》（国务院令第613号）第七十三条</w:t>
            </w:r>
          </w:p>
        </w:tc>
        <w:tc>
          <w:tcPr>
            <w:tcW w:w="4354"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《中华人民共和国招标投标法实施条例》第七十三条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责令改正，可以处中标项目金额千分之一以下的罚款。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2"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责令改正，可以处中标项目金额千分之一以上千分之五以下的罚款。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责令改正，可以处中标项目金额千分之五以上千分之十以下的罚款。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spacing w:line="0" w:lineRule="atLeas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21</w:t>
            </w:r>
          </w:p>
        </w:tc>
        <w:tc>
          <w:tcPr>
            <w:tcW w:w="1376"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依法必须进行招标的项目的中标人无正当理由不与招标人订立合同，在签订合同时向招标人提出附加条件，或者不按照招标文件要求提交履约保证金的</w:t>
            </w:r>
          </w:p>
        </w:tc>
        <w:tc>
          <w:tcPr>
            <w:tcW w:w="1128"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《中华人民共和国招标投标法实施条例》（国务院令第613号）第七十四条</w:t>
            </w:r>
          </w:p>
        </w:tc>
        <w:tc>
          <w:tcPr>
            <w:tcW w:w="4354" w:type="dxa"/>
            <w:gridSpan w:val="4"/>
            <w:vMerge w:val="restart"/>
            <w:tcBorders>
              <w:tl2br w:val="nil"/>
              <w:tr2bl w:val="nil"/>
            </w:tcBorders>
            <w:tcMar>
              <w:top w:w="15" w:type="dxa"/>
              <w:left w:w="15" w:type="dxa"/>
              <w:bottom w:w="15" w:type="dxa"/>
              <w:right w:w="15" w:type="dxa"/>
            </w:tcMar>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《中华人民共和国招标投标法实施条例》第七十四条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取消其中标资格，投标保证金不予退还；责令改正，可以处中标项目金额千分之一以下的罚款。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取消其中标资格，投标保证金不予退还；责令改正，可以处中标项目金额千分之一以上千分之五以下的罚款。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取消其中标资格，投标保证金不予退还；责令改正，可以处中标项目金额千分之五以上千分之十以下的罚款。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5" w:hRule="atLeast"/>
          <w:jc w:val="center"/>
        </w:trPr>
        <w:tc>
          <w:tcPr>
            <w:tcW w:w="533" w:type="dxa"/>
            <w:gridSpan w:val="2"/>
            <w:vMerge w:val="restart"/>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22</w:t>
            </w:r>
          </w:p>
        </w:tc>
        <w:tc>
          <w:tcPr>
            <w:tcW w:w="1376"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招标人与中标人不按照招标文件和中标人的投标文件订立合同，合同的主要条款与招标文件、中标人的投标文件的内容不一致，或者招标人、中标人订立背离合同实质性内容的协议的</w:t>
            </w:r>
          </w:p>
        </w:tc>
        <w:tc>
          <w:tcPr>
            <w:tcW w:w="1128"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《中华人民共和国招标投标法》（中华人民共和国主席令第21号）第五十九条；《中华人民共和国招标投标法实施条例》（国务院令第613号）第七十五条</w:t>
            </w:r>
          </w:p>
        </w:tc>
        <w:tc>
          <w:tcPr>
            <w:tcW w:w="4354" w:type="dxa"/>
            <w:gridSpan w:val="4"/>
            <w:vMerge w:val="restart"/>
            <w:tcBorders>
              <w:tl2br w:val="nil"/>
              <w:tr2bl w:val="nil"/>
            </w:tcBorders>
            <w:vAlign w:val="center"/>
          </w:tcPr>
          <w:p>
            <w:pPr>
              <w:pStyle w:val="11"/>
              <w:spacing w:after="0" w:afterAutospacing="0" w:line="240" w:lineRule="auto"/>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《中华人民共和国招标投标法实施条例》第七十五条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0"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责令改正，可以处中标项目金额千分之六以上千分之八以下的罚款。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8"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责令改正，可以处中标项目金额千分之八以上千分之十以下的罚款。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1" w:hRule="atLeast"/>
          <w:jc w:val="center"/>
        </w:trPr>
        <w:tc>
          <w:tcPr>
            <w:tcW w:w="533" w:type="dxa"/>
            <w:gridSpan w:val="2"/>
            <w:vMerge w:val="restart"/>
            <w:tcBorders>
              <w:tl2br w:val="nil"/>
              <w:tr2bl w:val="nil"/>
            </w:tcBorders>
            <w:vAlign w:val="center"/>
          </w:tcPr>
          <w:p>
            <w:pPr>
              <w:widowControl/>
              <w:spacing w:line="0" w:lineRule="atLeast"/>
              <w:jc w:val="left"/>
              <w:rPr>
                <w:rFonts w:ascii="仿宋_GB2312" w:hAnsi="宋体" w:eastAsia="仿宋_GB2312" w:cs="Times New Roman"/>
                <w:color w:val="000000" w:themeColor="text1"/>
                <w:szCs w:val="21"/>
                <w14:textFill>
                  <w14:solidFill>
                    <w14:schemeClr w14:val="tx1"/>
                  </w14:solidFill>
                </w14:textFill>
              </w:rPr>
            </w:pPr>
          </w:p>
          <w:p>
            <w:pPr>
              <w:widowControl/>
              <w:spacing w:line="0" w:lineRule="atLeast"/>
              <w:ind w:firstLine="105" w:firstLineChars="5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23</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招标人不具备自行办理施工招标事宜条件而自行招标</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《房屋建筑和市政基础设施工程施工招标投标管理办法》第十一条</w:t>
            </w:r>
          </w:p>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《房屋建筑和市政基础设施工程施工招标投标管理办法》第五十一条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招标人不具备自行办理施工招标事宜条件而自行招标的，县级以上地方人民政府建设行政主管部门应当责令改正，处1万元以下的罚款。</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337"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jc w:val="center"/>
        </w:trPr>
        <w:tc>
          <w:tcPr>
            <w:tcW w:w="533" w:type="dxa"/>
            <w:gridSpan w:val="2"/>
            <w:vMerge w:val="continue"/>
            <w:tcBorders>
              <w:tl2br w:val="nil"/>
              <w:tr2bl w:val="nil"/>
            </w:tcBorders>
            <w:vAlign w:val="center"/>
          </w:tcPr>
          <w:p>
            <w:pPr>
              <w:widowControl/>
              <w:spacing w:line="0" w:lineRule="atLeast"/>
              <w:jc w:val="left"/>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337"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533" w:type="dxa"/>
            <w:gridSpan w:val="2"/>
            <w:vMerge w:val="continue"/>
            <w:tcBorders>
              <w:tl2br w:val="nil"/>
              <w:tr2bl w:val="nil"/>
            </w:tcBorders>
            <w:vAlign w:val="center"/>
          </w:tcPr>
          <w:p>
            <w:pPr>
              <w:widowControl/>
              <w:spacing w:line="0" w:lineRule="atLeast"/>
              <w:jc w:val="left"/>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337"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13810" w:type="dxa"/>
            <w:gridSpan w:val="17"/>
            <w:tcBorders>
              <w:tl2br w:val="nil"/>
              <w:tr2bl w:val="nil"/>
            </w:tcBorders>
            <w:vAlign w:val="center"/>
          </w:tcPr>
          <w:p>
            <w:pPr>
              <w:widowControl/>
              <w:spacing w:line="240" w:lineRule="auto"/>
              <w:jc w:val="center"/>
              <w:textAlignment w:val="center"/>
              <w:rPr>
                <w:rFonts w:ascii="黑体" w:hAnsi="黑体" w:eastAsia="黑体" w:cs="Times New Roman"/>
                <w:b/>
                <w:bCs/>
                <w:color w:val="000000" w:themeColor="text1"/>
                <w:kern w:val="0"/>
                <w:szCs w:val="21"/>
                <w14:textFill>
                  <w14:solidFill>
                    <w14:schemeClr w14:val="tx1"/>
                  </w14:solidFill>
                </w14:textFill>
              </w:rPr>
            </w:pPr>
            <w:r>
              <w:rPr>
                <w:rFonts w:hint="eastAsia" w:ascii="仿宋_GB2312" w:hAnsi="宋体" w:eastAsia="仿宋_GB2312"/>
                <w:b/>
                <w:bCs/>
                <w:color w:val="000000" w:themeColor="text1"/>
                <w:kern w:val="0"/>
                <w:szCs w:val="21"/>
                <w14:textFill>
                  <w14:solidFill>
                    <w14:schemeClr w14:val="tx1"/>
                  </w14:solidFill>
                </w14:textFill>
              </w:rPr>
              <w:t>建筑市场监管类(5</w:t>
            </w:r>
            <w:r>
              <w:rPr>
                <w:rFonts w:hint="eastAsia" w:ascii="仿宋_GB2312" w:hAnsi="宋体" w:eastAsia="仿宋_GB2312"/>
                <w:b/>
                <w:bCs/>
                <w:color w:val="000000" w:themeColor="text1"/>
                <w:kern w:val="0"/>
                <w:szCs w:val="21"/>
                <w:lang w:val="en-US" w:eastAsia="zh-CN"/>
                <w14:textFill>
                  <w14:solidFill>
                    <w14:schemeClr w14:val="tx1"/>
                  </w14:solidFill>
                </w14:textFill>
              </w:rPr>
              <w:t>2</w:t>
            </w:r>
            <w:r>
              <w:rPr>
                <w:rFonts w:hint="eastAsia" w:ascii="仿宋_GB2312" w:hAnsi="宋体" w:eastAsia="仿宋_GB2312"/>
                <w:b/>
                <w:bCs/>
                <w:color w:val="000000" w:themeColor="text1"/>
                <w:kern w:val="0"/>
                <w:szCs w:val="21"/>
                <w14:textFill>
                  <w14:solidFill>
                    <w14:schemeClr w14:val="tx1"/>
                  </w14:solidFill>
                </w14:textFill>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未经注册擅自以注册建筑师名义从事注册建筑师业务</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《中华人民共和国注册建筑师条例》第二十五条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《中华人民共和国注册建筑师条例》第三十条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未经注册擅自以注册建筑师名义从事注册建筑师业务的，由县级以上人民政府建设行政主管部门责令停止违法活动，没收违法所得，并可以处以违法所得5倍以下的罚款；造成损失的，应当承担赔偿责任。</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违法所得在1万元以下的。</w:t>
            </w:r>
          </w:p>
        </w:tc>
        <w:tc>
          <w:tcPr>
            <w:tcW w:w="3337" w:type="dxa"/>
            <w:gridSpan w:val="2"/>
            <w:tcBorders>
              <w:tl2br w:val="nil"/>
              <w:tr2bl w:val="nil"/>
            </w:tcBorders>
            <w:vAlign w:val="center"/>
          </w:tcPr>
          <w:p>
            <w:pPr>
              <w:spacing w:line="240" w:lineRule="auto"/>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责令停止违法活动，没收违法所得，并可处以违法所得3倍以下的罚款。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06"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违法所得在1万元以上3万元以下的。</w:t>
            </w:r>
          </w:p>
        </w:tc>
        <w:tc>
          <w:tcPr>
            <w:tcW w:w="3337" w:type="dxa"/>
            <w:gridSpan w:val="2"/>
            <w:tcBorders>
              <w:tl2br w:val="nil"/>
              <w:tr2bl w:val="nil"/>
            </w:tcBorders>
            <w:vAlign w:val="center"/>
          </w:tcPr>
          <w:p>
            <w:pPr>
              <w:spacing w:line="240" w:lineRule="auto"/>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责令停止违法活动，没收违法所得，并可处以违法所得3倍以上4倍以下的罚款。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违法所得在3万元以上的。</w:t>
            </w:r>
          </w:p>
        </w:tc>
        <w:tc>
          <w:tcPr>
            <w:tcW w:w="3337" w:type="dxa"/>
            <w:gridSpan w:val="2"/>
            <w:tcBorders>
              <w:tl2br w:val="nil"/>
              <w:tr2bl w:val="nil"/>
            </w:tcBorders>
            <w:vAlign w:val="center"/>
          </w:tcPr>
          <w:p>
            <w:pPr>
              <w:spacing w:line="240" w:lineRule="auto"/>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责令停止违法活动，没收违法所得，并可处以违法所得4倍以上5倍以下的罚款。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1</w:t>
            </w:r>
            <w:r>
              <w:rPr>
                <w:rFonts w:ascii="仿宋_GB2312" w:hAnsi="宋体" w:eastAsia="仿宋_GB2312"/>
                <w:color w:val="000000" w:themeColor="text1"/>
                <w:kern w:val="0"/>
                <w:szCs w:val="21"/>
                <w14:textFill>
                  <w14:solidFill>
                    <w14:schemeClr w14:val="tx1"/>
                  </w14:solidFill>
                </w14:textFill>
              </w:rPr>
              <w:t>）以个人名义承接注册建筑师业务、收取费用的；</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2</w:t>
            </w:r>
            <w:r>
              <w:rPr>
                <w:rFonts w:ascii="仿宋_GB2312" w:hAnsi="宋体" w:eastAsia="仿宋_GB2312"/>
                <w:color w:val="000000" w:themeColor="text1"/>
                <w:kern w:val="0"/>
                <w:szCs w:val="21"/>
                <w14:textFill>
                  <w14:solidFill>
                    <w14:schemeClr w14:val="tx1"/>
                  </w14:solidFill>
                </w14:textFill>
              </w:rPr>
              <w:t>）同时受聘于二个以上建筑设计单位执行业务的；</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3</w:t>
            </w:r>
            <w:r>
              <w:rPr>
                <w:rFonts w:ascii="仿宋_GB2312" w:hAnsi="宋体" w:eastAsia="仿宋_GB2312"/>
                <w:color w:val="000000" w:themeColor="text1"/>
                <w:kern w:val="0"/>
                <w:szCs w:val="21"/>
                <w14:textFill>
                  <w14:solidFill>
                    <w14:schemeClr w14:val="tx1"/>
                  </w14:solidFill>
                </w14:textFill>
              </w:rPr>
              <w:t>）在建筑设计或者相关业务中侵犯他人合法权益的；</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4</w:t>
            </w:r>
            <w:r>
              <w:rPr>
                <w:rFonts w:ascii="仿宋_GB2312" w:hAnsi="宋体" w:eastAsia="仿宋_GB2312"/>
                <w:color w:val="000000" w:themeColor="text1"/>
                <w:kern w:val="0"/>
                <w:szCs w:val="21"/>
                <w14:textFill>
                  <w14:solidFill>
                    <w14:schemeClr w14:val="tx1"/>
                  </w14:solidFill>
                </w14:textFill>
              </w:rPr>
              <w:t>）准许他人以本人名义执行业务的；</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5</w:t>
            </w:r>
            <w:r>
              <w:rPr>
                <w:rFonts w:ascii="仿宋_GB2312" w:hAnsi="宋体" w:eastAsia="仿宋_GB2312"/>
                <w:color w:val="000000" w:themeColor="text1"/>
                <w:kern w:val="0"/>
                <w:szCs w:val="21"/>
                <w14:textFill>
                  <w14:solidFill>
                    <w14:schemeClr w14:val="tx1"/>
                  </w14:solidFill>
                </w14:textFill>
              </w:rPr>
              <w:t>）二级注册建筑师以一级注册建筑师的名义执行业务或者超越国家规定的执业范围执行业务的。</w:t>
            </w:r>
          </w:p>
        </w:tc>
        <w:tc>
          <w:tcPr>
            <w:tcW w:w="1128" w:type="dxa"/>
            <w:gridSpan w:val="2"/>
            <w:vMerge w:val="restart"/>
            <w:tcBorders>
              <w:tl2br w:val="nil"/>
              <w:tr2bl w:val="nil"/>
            </w:tcBorders>
            <w:vAlign w:val="center"/>
          </w:tcPr>
          <w:p>
            <w:pPr>
              <w:spacing w:line="240" w:lineRule="auto"/>
              <w:jc w:val="left"/>
              <w:rPr>
                <w:rFonts w:ascii="黑体" w:hAnsi="黑体" w:eastAsia="黑体" w:cs="黑体"/>
                <w:color w:val="000000" w:themeColor="text1"/>
                <w:spacing w:val="8"/>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《中华人民共和国注册建筑师条例》第二十八条/三十一条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w:t>
            </w:r>
            <w:r>
              <w:rPr>
                <w:rFonts w:ascii="仿宋_GB2312" w:hAnsi="宋体" w:eastAsia="仿宋_GB2312"/>
                <w:color w:val="000000" w:themeColor="text1"/>
                <w:kern w:val="0"/>
                <w:szCs w:val="21"/>
                <w14:textFill>
                  <w14:solidFill>
                    <w14:schemeClr w14:val="tx1"/>
                  </w14:solidFill>
                </w14:textFill>
              </w:rPr>
              <w:t>第三十一条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（一）以个人名义承接注册建筑师业务、收取费用的；</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（二）同时受聘于二个以上建筑设计单位执行业务的；</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（三）在建筑设计或者相关业务中侵犯他人合法权益的；</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（四）准许他人以本人名义执行业务的；</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（五）二级注册建筑师以一级注册建筑师的名义执行业务或者超越国家规定的执业范围执行业务的。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违法所得在1万元以下的。</w:t>
            </w:r>
          </w:p>
        </w:tc>
        <w:tc>
          <w:tcPr>
            <w:tcW w:w="3337" w:type="dxa"/>
            <w:gridSpan w:val="2"/>
            <w:tcBorders>
              <w:tl2br w:val="nil"/>
              <w:tr2bl w:val="nil"/>
            </w:tcBorders>
            <w:vAlign w:val="center"/>
          </w:tcPr>
          <w:p>
            <w:pPr>
              <w:spacing w:line="240" w:lineRule="auto"/>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责令停止违法活动，没收违法所得，并可处以违法所得3倍以下的罚款。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312"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spacing w:line="240" w:lineRule="auto"/>
              <w:jc w:val="left"/>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违法所得在1万元以上3万元以下的。</w:t>
            </w:r>
          </w:p>
        </w:tc>
        <w:tc>
          <w:tcPr>
            <w:tcW w:w="3337" w:type="dxa"/>
            <w:gridSpan w:val="2"/>
            <w:tcBorders>
              <w:tl2br w:val="nil"/>
              <w:tr2bl w:val="nil"/>
            </w:tcBorders>
            <w:vAlign w:val="center"/>
          </w:tcPr>
          <w:p>
            <w:pPr>
              <w:spacing w:line="240" w:lineRule="auto"/>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责令停止违法活动，没收违法所得，并可处以违法所得3倍以上4倍以下的罚款。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spacing w:line="240" w:lineRule="auto"/>
              <w:jc w:val="left"/>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违法所得在3万元以上的。</w:t>
            </w:r>
          </w:p>
        </w:tc>
        <w:tc>
          <w:tcPr>
            <w:tcW w:w="3337" w:type="dxa"/>
            <w:gridSpan w:val="2"/>
            <w:tcBorders>
              <w:tl2br w:val="nil"/>
              <w:tr2bl w:val="nil"/>
            </w:tcBorders>
            <w:vAlign w:val="center"/>
          </w:tcPr>
          <w:p>
            <w:pPr>
              <w:spacing w:line="240" w:lineRule="auto"/>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责令停止违法活动，没收违法所得，并可处以违法所得4倍以上5倍以下的罚款；</w:t>
            </w:r>
            <w:r>
              <w:rPr>
                <w:rFonts w:ascii="仿宋_GB2312" w:hAnsi="宋体" w:eastAsia="仿宋_GB2312"/>
                <w:color w:val="000000" w:themeColor="text1"/>
                <w:kern w:val="0"/>
                <w:szCs w:val="21"/>
                <w14:textFill>
                  <w14:solidFill>
                    <w14:schemeClr w14:val="tx1"/>
                  </w14:solidFill>
                </w14:textFill>
              </w:rPr>
              <w:t>可以责令停止执行业务</w:t>
            </w:r>
            <w:r>
              <w:rPr>
                <w:rFonts w:hint="eastAsia" w:ascii="仿宋_GB2312" w:hAnsi="宋体" w:eastAsia="仿宋_GB2312"/>
                <w:color w:val="000000" w:themeColor="text1"/>
                <w:kern w:val="0"/>
                <w:szCs w:val="21"/>
                <w14:textFill>
                  <w14:solidFill>
                    <w14:schemeClr w14:val="tx1"/>
                  </w14:solidFill>
                </w14:textFill>
              </w:rPr>
              <w:t>或者由全国注册建筑师营理委员会或者省、自治区、直辖市注册建筑师管理委员会吊销注册建筑师证书。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b/>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以欺骗、贿赂等不正当手段取得注册证书和执业印章</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《中华人民共和国注册建筑师条例实施细则》第四十一条</w:t>
            </w:r>
          </w:p>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《中华人民共和国注册建筑师条例实施细则》第四十一条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和执业印章的，由全国注册建筑师管理委员会或省、自治区、直辖市注册建筑师管理委员会撤销注册证书并收回执业印章，三年内不得再次申请注册，并由县级以上人民政府建设主管部门处以罚款。其中没有违法所得的，处以1万元以下罚款；有违法所得的处以违法所得3倍以下且不超过3万元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337" w:type="dxa"/>
            <w:gridSpan w:val="2"/>
            <w:tcBorders>
              <w:tl2br w:val="nil"/>
              <w:tr2bl w:val="nil"/>
            </w:tcBorders>
            <w:vAlign w:val="center"/>
          </w:tcPr>
          <w:p>
            <w:pPr>
              <w:widowControl/>
              <w:spacing w:line="30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由全国注册建筑师管理委员会或省、自治区、直辖市注册建筑师管理委员会撤销注册证书并收回执业印章，三年内不得再次申请注册，处3千元以下的罚款。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（1）违法所得在1万元以下的。</w:t>
            </w:r>
          </w:p>
        </w:tc>
        <w:tc>
          <w:tcPr>
            <w:tcW w:w="3337" w:type="dxa"/>
            <w:gridSpan w:val="2"/>
            <w:tcBorders>
              <w:tl2br w:val="nil"/>
              <w:tr2bl w:val="nil"/>
            </w:tcBorders>
            <w:vAlign w:val="center"/>
          </w:tcPr>
          <w:p>
            <w:pPr>
              <w:spacing w:line="30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由全国注册建筑师管理委员会或省、自治区、直辖市注册建筑师管理委员会撤销注册证书并收回执业印章，三年内不得再次申请注册，处以违法所得1倍以下且不超过3万元的罚款。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337" w:type="dxa"/>
            <w:gridSpan w:val="2"/>
            <w:tcBorders>
              <w:tl2br w:val="nil"/>
              <w:tr2bl w:val="nil"/>
            </w:tcBorders>
            <w:vAlign w:val="center"/>
          </w:tcPr>
          <w:p>
            <w:pPr>
              <w:widowControl/>
              <w:spacing w:line="30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由全国注册建筑师管理委员会或省、自治区、直辖市注册建筑师管理委员会撤销注册证书并收回执业印章，三年内不得再次申请注册，处3千元以上7千元以下的罚款。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（1）违法所得在1万元以上3万元以下的。</w:t>
            </w:r>
          </w:p>
        </w:tc>
        <w:tc>
          <w:tcPr>
            <w:tcW w:w="3337" w:type="dxa"/>
            <w:gridSpan w:val="2"/>
            <w:tcBorders>
              <w:tl2br w:val="nil"/>
              <w:tr2bl w:val="nil"/>
            </w:tcBorders>
            <w:vAlign w:val="center"/>
          </w:tcPr>
          <w:p>
            <w:pPr>
              <w:spacing w:line="30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由全国注册建筑师管理委员会或省、自治区、直辖市注册建筑师管理委员会撤销注册证书并收回执业印章，三年内不得再次申请注册，处以违法所得1倍以上2倍以下且不超过3万元的罚款。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（2）违法所得在3万元以上的。</w:t>
            </w:r>
          </w:p>
        </w:tc>
        <w:tc>
          <w:tcPr>
            <w:tcW w:w="3337" w:type="dxa"/>
            <w:gridSpan w:val="2"/>
            <w:tcBorders>
              <w:tl2br w:val="nil"/>
              <w:tr2bl w:val="nil"/>
            </w:tcBorders>
            <w:vAlign w:val="center"/>
          </w:tcPr>
          <w:p>
            <w:pPr>
              <w:spacing w:line="240" w:lineRule="auto"/>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由全国注册建筑师管理委员会或省、自治区、直辖市注册建筑师管理委员会撤销注册证书并收回执业印章，三年内不得再次申请注册，处以违法所得2倍以上3倍以下且不超过3万元的罚款。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6"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（3）没有违法所得，造成严重危害后果的。</w:t>
            </w:r>
          </w:p>
        </w:tc>
        <w:tc>
          <w:tcPr>
            <w:tcW w:w="3337" w:type="dxa"/>
            <w:gridSpan w:val="2"/>
            <w:tcBorders>
              <w:tl2br w:val="nil"/>
              <w:tr2bl w:val="nil"/>
            </w:tcBorders>
            <w:vAlign w:val="center"/>
          </w:tcPr>
          <w:p>
            <w:pPr>
              <w:spacing w:line="240" w:lineRule="auto"/>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由全国注册建筑师管理委员会或省、自治区、直辖市注册建筑师管理委员会撤销注册证书并收回执业印章，三年内不得再次申请注册，处7千元以上1万元以下的罚款。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w:t>
            </w:r>
          </w:p>
        </w:tc>
        <w:tc>
          <w:tcPr>
            <w:tcW w:w="1376" w:type="dxa"/>
            <w:gridSpan w:val="2"/>
            <w:vMerge w:val="restart"/>
            <w:tcBorders>
              <w:tl2br w:val="nil"/>
              <w:tr2bl w:val="nil"/>
            </w:tcBorders>
            <w:vAlign w:val="center"/>
          </w:tcPr>
          <w:p>
            <w:pPr>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未受聘并注册于中华人民共和国境内一个具有工程设计资质的单位，从事建筑工程设计执业活动</w:t>
            </w:r>
          </w:p>
        </w:tc>
        <w:tc>
          <w:tcPr>
            <w:tcW w:w="1128" w:type="dxa"/>
            <w:gridSpan w:val="2"/>
            <w:vMerge w:val="restart"/>
            <w:tcBorders>
              <w:tl2br w:val="nil"/>
              <w:tr2bl w:val="nil"/>
            </w:tcBorders>
            <w:vAlign w:val="center"/>
          </w:tcPr>
          <w:p>
            <w:pPr>
              <w:spacing w:line="240" w:lineRule="auto"/>
              <w:jc w:val="center"/>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《中华人民共和国注册建筑师条例实施细则》</w:t>
            </w:r>
            <w:r>
              <w:rPr>
                <w:rFonts w:hint="eastAsia" w:ascii="仿宋_GB2312" w:hAnsi="宋体" w:eastAsia="仿宋_GB2312"/>
                <w:color w:val="000000" w:themeColor="text1"/>
                <w:kern w:val="0"/>
                <w:szCs w:val="21"/>
                <w14:textFill>
                  <w14:solidFill>
                    <w14:schemeClr w14:val="tx1"/>
                  </w14:solidFill>
                </w14:textFill>
              </w:rPr>
              <w:t>第二十七条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《中华人民共和国注册建筑师条例实施细则》第四十二条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细则，未受聘并注册于中华人民共和国境内一个具有工程设计资质的单位，从事建筑工程设计执业活动的，由县级以上人民政府建设主管部门给予警告，责令停止违法活动，并可处以1万元以上3万元以下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违法所得1万元以下的。</w:t>
            </w:r>
          </w:p>
        </w:tc>
        <w:tc>
          <w:tcPr>
            <w:tcW w:w="3337" w:type="dxa"/>
            <w:gridSpan w:val="2"/>
            <w:tcBorders>
              <w:tl2br w:val="nil"/>
              <w:tr2bl w:val="nil"/>
            </w:tcBorders>
            <w:vAlign w:val="center"/>
          </w:tcPr>
          <w:p>
            <w:pPr>
              <w:spacing w:line="240" w:lineRule="auto"/>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给予警告，责令停止违法活动，可处以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72"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违法所得1万元以上3万元以下的；或造成一般危害后果的。</w:t>
            </w:r>
          </w:p>
        </w:tc>
        <w:tc>
          <w:tcPr>
            <w:tcW w:w="3337" w:type="dxa"/>
            <w:gridSpan w:val="2"/>
            <w:tcBorders>
              <w:tl2br w:val="nil"/>
              <w:tr2bl w:val="nil"/>
            </w:tcBorders>
            <w:vAlign w:val="center"/>
          </w:tcPr>
          <w:p>
            <w:pPr>
              <w:spacing w:line="240" w:lineRule="auto"/>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给予警告，责令停止违法活动，处以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违法所得在3万元以上的；或造成严重危害后果的。</w:t>
            </w:r>
          </w:p>
        </w:tc>
        <w:tc>
          <w:tcPr>
            <w:tcW w:w="3337" w:type="dxa"/>
            <w:gridSpan w:val="2"/>
            <w:tcBorders>
              <w:tl2br w:val="nil"/>
              <w:tr2bl w:val="nil"/>
            </w:tcBorders>
            <w:vAlign w:val="center"/>
          </w:tcPr>
          <w:p>
            <w:pPr>
              <w:spacing w:line="240" w:lineRule="auto"/>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给予警告，责令停止违法活动，处以2.5万元以上3万元以下的罚款。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未办理变更注册而继续执业</w:t>
            </w:r>
          </w:p>
        </w:tc>
        <w:tc>
          <w:tcPr>
            <w:tcW w:w="1128" w:type="dxa"/>
            <w:gridSpan w:val="2"/>
            <w:vMerge w:val="restart"/>
            <w:tcBorders>
              <w:tl2br w:val="nil"/>
              <w:tr2bl w:val="nil"/>
            </w:tcBorders>
            <w:vAlign w:val="center"/>
          </w:tcPr>
          <w:p>
            <w:pPr>
              <w:pStyle w:val="11"/>
              <w:spacing w:line="240" w:lineRule="auto"/>
              <w:jc w:val="center"/>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《中华人民共和国注册建筑师条例实施细则》第二十条</w:t>
            </w:r>
          </w:p>
        </w:tc>
        <w:tc>
          <w:tcPr>
            <w:tcW w:w="4354" w:type="dxa"/>
            <w:gridSpan w:val="4"/>
            <w:vMerge w:val="restart"/>
            <w:tcBorders>
              <w:tl2br w:val="nil"/>
              <w:tr2bl w:val="nil"/>
            </w:tcBorders>
            <w:vAlign w:val="center"/>
          </w:tcPr>
          <w:p>
            <w:pPr>
              <w:pStyle w:val="11"/>
              <w:spacing w:before="0" w:beforeAutospacing="0" w:after="0" w:afterAutospacing="0" w:line="240" w:lineRule="auto"/>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《中华人民共和国注册建筑师条例实施细则》第四十三条</w:t>
            </w:r>
          </w:p>
          <w:p>
            <w:pPr>
              <w:pStyle w:val="11"/>
              <w:spacing w:before="0" w:beforeAutospacing="0" w:after="0" w:afterAutospacing="0" w:line="240" w:lineRule="auto"/>
              <w:ind w:firstLine="210" w:firstLineChars="100"/>
              <w:jc w:val="center"/>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违反本细则，未办理变更注册而继续执业的，由县级以上人民政府建设主管部门责令限期改正；逾期未改正的，可处以5000元以下的罚款。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经责令限期改正，逾期15日以内改正的。</w:t>
            </w:r>
          </w:p>
        </w:tc>
        <w:tc>
          <w:tcPr>
            <w:tcW w:w="3337" w:type="dxa"/>
            <w:gridSpan w:val="2"/>
            <w:tcBorders>
              <w:tl2br w:val="nil"/>
              <w:tr2bl w:val="nil"/>
            </w:tcBorders>
            <w:vAlign w:val="center"/>
          </w:tcPr>
          <w:p>
            <w:pPr>
              <w:widowControl/>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经责令限期改正，逾期15日以上30日以内改正的。</w:t>
            </w:r>
          </w:p>
        </w:tc>
        <w:tc>
          <w:tcPr>
            <w:tcW w:w="3337" w:type="dxa"/>
            <w:gridSpan w:val="2"/>
            <w:tcBorders>
              <w:tl2br w:val="nil"/>
              <w:tr2bl w:val="nil"/>
            </w:tcBorders>
            <w:vAlign w:val="center"/>
          </w:tcPr>
          <w:p>
            <w:pPr>
              <w:widowControl/>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54"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经责令限期改正，逾期30日以上未改正的。</w:t>
            </w:r>
          </w:p>
        </w:tc>
        <w:tc>
          <w:tcPr>
            <w:tcW w:w="3337" w:type="dxa"/>
            <w:gridSpan w:val="2"/>
            <w:tcBorders>
              <w:tl2br w:val="nil"/>
              <w:tr2bl w:val="nil"/>
            </w:tcBorders>
            <w:vAlign w:val="center"/>
          </w:tcPr>
          <w:p>
            <w:pPr>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处4千元以上5千元以下的罚款。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w:t>
            </w:r>
          </w:p>
        </w:tc>
        <w:tc>
          <w:tcPr>
            <w:tcW w:w="1376" w:type="dxa"/>
            <w:gridSpan w:val="2"/>
            <w:vMerge w:val="restart"/>
            <w:tcBorders>
              <w:tl2br w:val="nil"/>
              <w:tr2bl w:val="nil"/>
            </w:tcBorders>
            <w:vAlign w:val="center"/>
          </w:tcPr>
          <w:p>
            <w:pPr>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涂改、倒卖、出租、出借或者以其他形式非法转让执业资格证书、互认资格证书、注册证书和执业印章</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《中华人民共和国注册建筑师条例实施细则》第十六条第三款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《中华人民共和国注册建筑师条例实施细则》第四十四条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细则，涂改、倒卖、出租、出借或者以其他形式非法转让执业资格证书、互认资格证书、注册证书和执业印章的，由县级以上人民政府建设主管部门责令改正，其中没有违法所得的，处以1万元以下罚款；有违法所得的处以违法所得3倍以下且不超过3万元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（1）违法所得在1万元以下的。</w:t>
            </w:r>
          </w:p>
        </w:tc>
        <w:tc>
          <w:tcPr>
            <w:tcW w:w="3337" w:type="dxa"/>
            <w:gridSpan w:val="2"/>
            <w:tcBorders>
              <w:tl2br w:val="nil"/>
              <w:tr2bl w:val="nil"/>
            </w:tcBorders>
            <w:vAlign w:val="center"/>
          </w:tcPr>
          <w:p>
            <w:pPr>
              <w:spacing w:line="240" w:lineRule="auto"/>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责令改正，处以违法所得1倍以下且不超过3万元的罚款。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86"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restart"/>
            <w:tcBorders>
              <w:tl2br w:val="nil"/>
              <w:tr2bl w:val="nil"/>
            </w:tcBorders>
            <w:vAlign w:val="center"/>
          </w:tcPr>
          <w:p>
            <w:pPr>
              <w:spacing w:line="240" w:lineRule="auto"/>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（1）违法所得在1万元以上3万元以下的。</w:t>
            </w:r>
          </w:p>
        </w:tc>
        <w:tc>
          <w:tcPr>
            <w:tcW w:w="3337" w:type="dxa"/>
            <w:gridSpan w:val="2"/>
            <w:tcBorders>
              <w:tl2br w:val="nil"/>
              <w:tr2bl w:val="nil"/>
            </w:tcBorders>
            <w:vAlign w:val="center"/>
          </w:tcPr>
          <w:p>
            <w:pPr>
              <w:spacing w:line="240" w:lineRule="auto"/>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责令改正，处以违法所得1倍以上2倍以下且不超过3万元的罚款。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continue"/>
            <w:tcBorders>
              <w:tl2br w:val="nil"/>
              <w:tr2bl w:val="nil"/>
            </w:tcBorders>
            <w:vAlign w:val="center"/>
          </w:tcPr>
          <w:p>
            <w:pPr>
              <w:spacing w:line="240" w:lineRule="auto"/>
              <w:jc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（2）违法所得在3万元以上的。</w:t>
            </w:r>
          </w:p>
        </w:tc>
        <w:tc>
          <w:tcPr>
            <w:tcW w:w="3337" w:type="dxa"/>
            <w:gridSpan w:val="2"/>
            <w:tcBorders>
              <w:tl2br w:val="nil"/>
              <w:tr2bl w:val="nil"/>
            </w:tcBorders>
            <w:vAlign w:val="center"/>
          </w:tcPr>
          <w:p>
            <w:pPr>
              <w:spacing w:line="240" w:lineRule="auto"/>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责令改正，处以违法所得2倍以上3倍以下且不超过3万元的罚款。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continue"/>
            <w:tcBorders>
              <w:tl2br w:val="nil"/>
              <w:tr2bl w:val="nil"/>
            </w:tcBorders>
            <w:vAlign w:val="center"/>
          </w:tcPr>
          <w:p>
            <w:pPr>
              <w:spacing w:line="240" w:lineRule="auto"/>
              <w:jc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（3）没有违法所得，造成严重危害后果的。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注册建筑师或者其聘用单位未按照要求提供注册建筑师信用档案信息</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《中华人民共和国注册建筑师条例实施细则》第三十九条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《中华人民共和国注册建筑师条例实施细则》第四十五条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违反本细则，注册建筑师或者其聘用单位未按照要求提供注册建筑师信用档案信息的，由县级以上人民政府建设主管部门责令限期改正；逾期未改正的，可处以1000元以上1万元以下的罚款。</w:t>
            </w:r>
          </w:p>
        </w:tc>
        <w:tc>
          <w:tcPr>
            <w:tcW w:w="1101" w:type="dxa"/>
            <w:gridSpan w:val="3"/>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经责令限期改正，逾期15日以内改正的。</w:t>
            </w:r>
          </w:p>
        </w:tc>
        <w:tc>
          <w:tcPr>
            <w:tcW w:w="3337" w:type="dxa"/>
            <w:gridSpan w:val="2"/>
            <w:tcBorders>
              <w:tl2br w:val="nil"/>
              <w:tr2bl w:val="nil"/>
            </w:tcBorders>
            <w:vAlign w:val="center"/>
          </w:tcPr>
          <w:p>
            <w:pPr>
              <w:widowControl/>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经责令限期改正，逾期15日以上30日以内改正的。</w:t>
            </w:r>
          </w:p>
        </w:tc>
        <w:tc>
          <w:tcPr>
            <w:tcW w:w="3337" w:type="dxa"/>
            <w:gridSpan w:val="2"/>
            <w:tcBorders>
              <w:tl2br w:val="nil"/>
              <w:tr2bl w:val="nil"/>
            </w:tcBorders>
            <w:vAlign w:val="center"/>
          </w:tcPr>
          <w:p>
            <w:pPr>
              <w:widowControl/>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经责令限期改正，逾期30日以上未改正的。</w:t>
            </w:r>
          </w:p>
        </w:tc>
        <w:tc>
          <w:tcPr>
            <w:tcW w:w="3337" w:type="dxa"/>
            <w:gridSpan w:val="2"/>
            <w:tcBorders>
              <w:tl2br w:val="nil"/>
              <w:tr2bl w:val="nil"/>
            </w:tcBorders>
            <w:vAlign w:val="center"/>
          </w:tcPr>
          <w:p>
            <w:pPr>
              <w:widowControl/>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26"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聘用单位为申请人提供虚假注册材料，逾期未改正</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《中华人民共和国注册建筑师条例实施细则》第四十六条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《中华人民共和国注册建筑师条例实施细则》第四十六条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聘用单位为申请人提供虚假注册材料的，由县级以上人民政府建设主管部门给予警告，责令限期改正；逾期未改正的，可处以1万元以上3万元以下的罚款。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聘用单位为1个申请人提供虚假注册材料。</w:t>
            </w:r>
          </w:p>
        </w:tc>
        <w:tc>
          <w:tcPr>
            <w:tcW w:w="3337" w:type="dxa"/>
            <w:gridSpan w:val="2"/>
            <w:tcBorders>
              <w:tl2br w:val="nil"/>
              <w:tr2bl w:val="nil"/>
            </w:tcBorders>
            <w:vAlign w:val="center"/>
          </w:tcPr>
          <w:p>
            <w:pPr>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聘用单位为2个以上5个以下申请人提供虚假注册材料。</w:t>
            </w:r>
          </w:p>
        </w:tc>
        <w:tc>
          <w:tcPr>
            <w:tcW w:w="3337" w:type="dxa"/>
            <w:gridSpan w:val="2"/>
            <w:tcBorders>
              <w:tl2br w:val="nil"/>
              <w:tr2bl w:val="nil"/>
            </w:tcBorders>
            <w:vAlign w:val="center"/>
          </w:tcPr>
          <w:p>
            <w:pPr>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聘用单位为5个以上申请人提供虚假注册材料。</w:t>
            </w:r>
          </w:p>
        </w:tc>
        <w:tc>
          <w:tcPr>
            <w:tcW w:w="3337" w:type="dxa"/>
            <w:gridSpan w:val="2"/>
            <w:tcBorders>
              <w:tl2br w:val="nil"/>
              <w:tr2bl w:val="nil"/>
            </w:tcBorders>
            <w:vAlign w:val="center"/>
          </w:tcPr>
          <w:p>
            <w:pPr>
              <w:widowControl/>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工程造价咨询企业跨省、自治区、直辖市承接业务不备案</w:t>
            </w:r>
          </w:p>
        </w:tc>
        <w:tc>
          <w:tcPr>
            <w:tcW w:w="1128"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《工程造价咨询企业管理办法》第二十三条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《工程造价咨询企业管理办法》第三十八条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第二十三条规定，跨省、自治区、直辖市承接业务不备案的，由县级以上地方人民政府住房城乡建设主管部门或者有关专业部门给予警告，责令限期改正；逾期未改正的，可处以5000元以上2万元以下的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《工程造价咨询企业管理办法》第二十三条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工程造价咨询企业跨省、自治区、直辖市承接工程造价咨询业务的，应当自承接业务之日起30日内到建设工程所在地省、自治区、直辖市人民政府住房城乡建设主管部门备案。</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经责令限期改正，逾期15日以内改正的</w:t>
            </w:r>
          </w:p>
        </w:tc>
        <w:tc>
          <w:tcPr>
            <w:tcW w:w="3337" w:type="dxa"/>
            <w:gridSpan w:val="2"/>
            <w:tcBorders>
              <w:tl2br w:val="nil"/>
              <w:tr2bl w:val="nil"/>
            </w:tcBorders>
            <w:vAlign w:val="center"/>
          </w:tcPr>
          <w:p>
            <w:pPr>
              <w:widowControl/>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97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经责令限期改正，逾期15日以上30日以内改正的</w:t>
            </w:r>
          </w:p>
        </w:tc>
        <w:tc>
          <w:tcPr>
            <w:tcW w:w="3337" w:type="dxa"/>
            <w:gridSpan w:val="2"/>
            <w:tcBorders>
              <w:tl2br w:val="nil"/>
              <w:tr2bl w:val="nil"/>
            </w:tcBorders>
            <w:vAlign w:val="center"/>
          </w:tcPr>
          <w:p>
            <w:pPr>
              <w:widowControl/>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经责令限期改正，逾期30日以上未改正的</w:t>
            </w:r>
          </w:p>
        </w:tc>
        <w:tc>
          <w:tcPr>
            <w:tcW w:w="3337" w:type="dxa"/>
            <w:gridSpan w:val="2"/>
            <w:tcBorders>
              <w:tl2br w:val="nil"/>
              <w:tr2bl w:val="nil"/>
            </w:tcBorders>
            <w:vAlign w:val="center"/>
          </w:tcPr>
          <w:p>
            <w:pPr>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同时接受招标人和投标人或两个以上投标人对同一工程项目的工程造价咨询业务；（四）以给予回扣、恶意压低收费等方式进行不正当竞争；（五）转包承接的工程造价咨询业务；（六）法律、法规禁止的其他行为。</w:t>
            </w:r>
          </w:p>
        </w:tc>
        <w:tc>
          <w:tcPr>
            <w:tcW w:w="1128"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《工程造价咨询企业管理办法》第二十五条</w:t>
            </w:r>
          </w:p>
        </w:tc>
        <w:tc>
          <w:tcPr>
            <w:tcW w:w="4354"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《工程造价咨询企业管理办法》第三十九条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工程造价咨询企业有本办法第二十五条行为之一的，由县级以上地方人民政府住房城乡建设主管部门或者有关专业部门给予警告，责令限期改正，并处以1万元以上3万元以下的罚款。</w:t>
            </w: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hd w:val="clear" w:color="auto" w:fill="FFFFFF"/>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《工程造价咨询企业管理办法》第二十五条 工程造价咨询企业不得有下列行为：</w:t>
            </w:r>
          </w:p>
          <w:p>
            <w:pPr>
              <w:widowControl/>
              <w:shd w:val="clear" w:color="auto" w:fill="FFFFFF"/>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（三）同时接受招标人和投标人或两个以上投标人对同一工程项目的工程造价咨询业务；</w:t>
            </w:r>
          </w:p>
          <w:p>
            <w:pPr>
              <w:widowControl/>
              <w:shd w:val="clear" w:color="auto" w:fill="FFFFFF"/>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（四）以给予回扣、恶意压低收费等方式进行不正当竞争；</w:t>
            </w:r>
          </w:p>
          <w:p>
            <w:pPr>
              <w:widowControl/>
              <w:shd w:val="clear" w:color="auto" w:fill="FFFFFF"/>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（五）转包承接的工程造价咨询业务；</w:t>
            </w:r>
          </w:p>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（六）法律、法规禁止的其他行为。</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初次违法，危害后果不重，主动消除或减轻违法行为危害后果的。</w:t>
            </w:r>
          </w:p>
        </w:tc>
        <w:tc>
          <w:tcPr>
            <w:tcW w:w="3337" w:type="dxa"/>
            <w:gridSpan w:val="2"/>
            <w:tcBorders>
              <w:tl2br w:val="nil"/>
              <w:tr2bl w:val="nil"/>
            </w:tcBorders>
            <w:vAlign w:val="center"/>
          </w:tcPr>
          <w:p>
            <w:pPr>
              <w:widowControl/>
              <w:spacing w:before="100" w:beforeAutospacing="1" w:after="100" w:afterAutospacing="1"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7"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337" w:type="dxa"/>
            <w:gridSpan w:val="2"/>
            <w:tcBorders>
              <w:tl2br w:val="nil"/>
              <w:tr2bl w:val="nil"/>
            </w:tcBorders>
            <w:vAlign w:val="center"/>
          </w:tcPr>
          <w:p>
            <w:pPr>
              <w:widowControl/>
              <w:spacing w:before="100" w:beforeAutospacing="1" w:after="100" w:afterAutospacing="1"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105" w:firstLineChars="5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（1）责令改正，拒不改正的；</w:t>
            </w:r>
          </w:p>
          <w:p>
            <w:pPr>
              <w:widowControl/>
              <w:spacing w:line="240" w:lineRule="auto"/>
              <w:ind w:firstLine="105" w:firstLineChars="5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widowControl/>
              <w:spacing w:line="240" w:lineRule="auto"/>
              <w:ind w:firstLine="105" w:firstLineChars="5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（3）严重扰乱工程造价咨询市场秩序的；</w:t>
            </w:r>
          </w:p>
          <w:p>
            <w:pPr>
              <w:widowControl/>
              <w:spacing w:line="240" w:lineRule="auto"/>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（4）经有关部门确认，存在扰乱招投标市场情形的；</w:t>
            </w:r>
          </w:p>
          <w:p>
            <w:pPr>
              <w:widowControl/>
              <w:spacing w:line="240" w:lineRule="auto"/>
              <w:ind w:firstLine="105" w:firstLineChars="5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37" w:type="dxa"/>
            <w:gridSpan w:val="2"/>
            <w:tcBorders>
              <w:tl2br w:val="nil"/>
              <w:tr2bl w:val="nil"/>
            </w:tcBorders>
            <w:vAlign w:val="center"/>
          </w:tcPr>
          <w:p>
            <w:pPr>
              <w:widowControl/>
              <w:spacing w:before="100" w:beforeAutospacing="1" w:after="100" w:afterAutospacing="1"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聘用单位为申请人提供虚假注册材料</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《注册造价工程师管理办法》第三十二条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《注册造价工程师管理办法》第三十二条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聘用单位为申请人提供虚假注册材料的，由县级以上地方人民政府建设主管部门或者其他有关部门给予警告，并可处以1万元以上3万元以下的罚款。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聘用单位为1个申请人提供虚假注册材料的。</w:t>
            </w:r>
          </w:p>
        </w:tc>
        <w:tc>
          <w:tcPr>
            <w:tcW w:w="3337" w:type="dxa"/>
            <w:gridSpan w:val="2"/>
            <w:tcBorders>
              <w:tl2br w:val="nil"/>
              <w:tr2bl w:val="nil"/>
            </w:tcBorders>
            <w:vAlign w:val="center"/>
          </w:tcPr>
          <w:p>
            <w:pPr>
              <w:spacing w:line="240" w:lineRule="auto"/>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29"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聘用单位为2个以上5个以下申请人提供虚假注册材料的。</w:t>
            </w:r>
          </w:p>
        </w:tc>
        <w:tc>
          <w:tcPr>
            <w:tcW w:w="3337" w:type="dxa"/>
            <w:gridSpan w:val="2"/>
            <w:tcBorders>
              <w:tl2br w:val="nil"/>
              <w:tr2bl w:val="nil"/>
            </w:tcBorders>
            <w:vAlign w:val="center"/>
          </w:tcPr>
          <w:p>
            <w:pPr>
              <w:spacing w:line="240" w:lineRule="auto"/>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给予警告，处以1.5万元以上2.5万元以下的罚款。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聘用单位为5个以上申请人提供虚假注册材料的。</w:t>
            </w:r>
          </w:p>
        </w:tc>
        <w:tc>
          <w:tcPr>
            <w:tcW w:w="3337" w:type="dxa"/>
            <w:gridSpan w:val="2"/>
            <w:tcBorders>
              <w:tl2br w:val="nil"/>
              <w:tr2bl w:val="nil"/>
            </w:tcBorders>
            <w:vAlign w:val="center"/>
          </w:tcPr>
          <w:p>
            <w:pPr>
              <w:spacing w:line="240" w:lineRule="auto"/>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35</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以欺骗、贿赂等不正当手段取得造价工程师注册</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《注册造价工程师管理办法》第三十三条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《注册造价工程师管理办法》第三十三条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造价工程师注册的，由注册机关撤销其注册，3年内不得再次申请注册，并由县级以上地方人民政府建设主管部门处以罚款。其中，没有违法所得的，处以1万元以下罚款；有违法所得的，处以违法所得3倍以下且不超过3万元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337" w:type="dxa"/>
            <w:gridSpan w:val="2"/>
            <w:tcBorders>
              <w:tl2br w:val="nil"/>
              <w:tr2bl w:val="nil"/>
            </w:tcBorders>
            <w:vAlign w:val="center"/>
          </w:tcPr>
          <w:p>
            <w:pPr>
              <w:spacing w:line="240" w:lineRule="auto"/>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由注册机关撤销其注册，3年内不得再次申请注册，处3千元以下的罚款。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gridSpan w:val="2"/>
            <w:vMerge w:val="continue"/>
            <w:tcBorders>
              <w:tl2br w:val="nil"/>
              <w:tr2bl w:val="nil"/>
            </w:tcBorders>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（1）违法所得在5千元以下的。</w:t>
            </w:r>
          </w:p>
        </w:tc>
        <w:tc>
          <w:tcPr>
            <w:tcW w:w="3337" w:type="dxa"/>
            <w:gridSpan w:val="2"/>
            <w:tcBorders>
              <w:tl2br w:val="nil"/>
              <w:tr2bl w:val="nil"/>
            </w:tcBorders>
            <w:vAlign w:val="center"/>
          </w:tcPr>
          <w:p>
            <w:pPr>
              <w:spacing w:line="240" w:lineRule="auto"/>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由注册机关撤销其注册，3年内不得再次申请注册，处以违法所得1倍以下且不超过3万元的罚款。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86"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gridSpan w:val="2"/>
            <w:vMerge w:val="continue"/>
            <w:tcBorders>
              <w:tl2br w:val="nil"/>
              <w:tr2bl w:val="nil"/>
            </w:tcBorders>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337" w:type="dxa"/>
            <w:gridSpan w:val="2"/>
            <w:tcBorders>
              <w:tl2br w:val="nil"/>
              <w:tr2bl w:val="nil"/>
            </w:tcBorders>
            <w:vAlign w:val="center"/>
          </w:tcPr>
          <w:p>
            <w:pPr>
              <w:spacing w:line="240" w:lineRule="auto"/>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由注册机关撤销其注册，3年内不得再次申请注册，处3千元以上7千元以下的罚款。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spacing w:line="240" w:lineRule="auto"/>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（1）违法所得在5千元以上1万元以下的。</w:t>
            </w:r>
          </w:p>
        </w:tc>
        <w:tc>
          <w:tcPr>
            <w:tcW w:w="3337" w:type="dxa"/>
            <w:gridSpan w:val="2"/>
            <w:tcBorders>
              <w:tl2br w:val="nil"/>
              <w:tr2bl w:val="nil"/>
            </w:tcBorders>
            <w:vAlign w:val="center"/>
          </w:tcPr>
          <w:p>
            <w:pPr>
              <w:spacing w:line="240" w:lineRule="auto"/>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由注册机关撤销其注册，3年内不得再次申请注册，处以违法所得1倍以上2倍以下且不超过3万元的罚款。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984"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spacing w:line="240" w:lineRule="auto"/>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337" w:type="dxa"/>
            <w:gridSpan w:val="2"/>
            <w:tcBorders>
              <w:tl2br w:val="nil"/>
              <w:tr2bl w:val="nil"/>
            </w:tcBorders>
            <w:vAlign w:val="center"/>
          </w:tcPr>
          <w:p>
            <w:pPr>
              <w:spacing w:line="240" w:lineRule="auto"/>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由注册机关撤销其注册，3年内不得再次申请注册，处7千元以上1万元以下的罚款。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spacing w:line="240" w:lineRule="auto"/>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（3）违法所得在1万元以上的。</w:t>
            </w:r>
          </w:p>
        </w:tc>
        <w:tc>
          <w:tcPr>
            <w:tcW w:w="3337" w:type="dxa"/>
            <w:gridSpan w:val="2"/>
            <w:tcBorders>
              <w:tl2br w:val="nil"/>
              <w:tr2bl w:val="nil"/>
            </w:tcBorders>
            <w:vAlign w:val="center"/>
          </w:tcPr>
          <w:p>
            <w:pPr>
              <w:spacing w:line="240" w:lineRule="auto"/>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由注册机关撤销其注册，3年内不得再次申请注册，处以违法所得2倍以上3倍以下且不超过3万元的罚款。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29"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未经注册而以注册造价工程师的名义从事工程造价活动</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《注册造价工程师管理办法》第六条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《注册造价工程师管理办法》第三十四条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未经注册而以注册造价工程师的名义从事工程造价活动的，所签署的工程造价成果文件无效，由县级以上地方人民政府建设主管部门或者其他有关部门给予警告，责令停止违法活动，并可处以1万元以上3万元以下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初次发生违法行为，危害后果轻微，主动消除或减轻违法行为危害后果的。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所签署的工程造价成果文件无效，给予警告，责令停止违法活动，可处以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所签署的工程造价成果文件无效；给予警告，责令停止违法活动，处以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105" w:firstLineChars="5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w:t>
            </w:r>
            <w:r>
              <w:rPr>
                <w:rFonts w:hint="eastAsia" w:ascii="仿宋_GB2312" w:hAnsi="宋体" w:eastAsia="仿宋_GB2312"/>
                <w:color w:val="000000" w:themeColor="text1"/>
                <w:kern w:val="0"/>
                <w:szCs w:val="21"/>
                <w14:textFill>
                  <w14:solidFill>
                    <w14:schemeClr w14:val="tx1"/>
                  </w14:solidFill>
                </w14:textFill>
              </w:rPr>
              <w:t>未经注册而以注册造价工程师的名义从事工程造价活动</w:t>
            </w:r>
            <w:r>
              <w:rPr>
                <w:rFonts w:hint="eastAsia" w:ascii="仿宋_GB2312" w:hAnsi="宋体" w:eastAsia="仿宋_GB2312"/>
                <w:color w:val="000000" w:themeColor="text1"/>
                <w:kern w:val="0"/>
                <w:szCs w:val="21"/>
                <w14:textFill>
                  <w14:solidFill>
                    <w14:schemeClr w14:val="tx1"/>
                  </w14:solidFill>
                </w14:textFill>
              </w:rPr>
              <w:t>被依法查处，再次实施该违法行为的；</w:t>
            </w:r>
          </w:p>
          <w:p>
            <w:pPr>
              <w:widowControl/>
              <w:spacing w:line="240" w:lineRule="auto"/>
              <w:ind w:firstLine="105" w:firstLineChars="5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（2）严重扰乱工程造价市场秩序的；</w:t>
            </w:r>
          </w:p>
          <w:p>
            <w:pPr>
              <w:widowControl/>
              <w:spacing w:line="240" w:lineRule="auto"/>
              <w:ind w:firstLine="105" w:firstLineChars="50"/>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所签署的工程造价成果文件无效，给予警告，责令停止违法活动，处以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注册造价工程师未办理变更注册而继续执业</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《注册造价工程师管理办法》第十一条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《注册造价工程师管理办法》第三十五条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违反本办法规定，未办理变更注册而继续执业的，由县级以上人民政府建设主管部门或者其他有关部门责令限期改正；逾期不改的，可处以5000元以下的罚款。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pStyle w:val="11"/>
              <w:spacing w:before="0" w:beforeAutospacing="0" w:after="0" w:afterAutospacing="0" w:line="240" w:lineRule="auto"/>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经责令限期改正，逾期15日以内改正的。</w:t>
            </w:r>
          </w:p>
        </w:tc>
        <w:tc>
          <w:tcPr>
            <w:tcW w:w="3337" w:type="dxa"/>
            <w:gridSpan w:val="2"/>
            <w:tcBorders>
              <w:tl2br w:val="nil"/>
              <w:tr2bl w:val="nil"/>
            </w:tcBorders>
            <w:vAlign w:val="center"/>
          </w:tcPr>
          <w:p>
            <w:pPr>
              <w:pStyle w:val="11"/>
              <w:spacing w:before="0" w:beforeAutospacing="0" w:after="0" w:afterAutospacing="0"/>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可处1500元以下的罚款。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pStyle w:val="11"/>
              <w:spacing w:before="0" w:beforeAutospacing="0" w:after="0" w:afterAutospacing="0" w:line="240" w:lineRule="auto"/>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经责令限期改正，逾期15日以上30日以内改正的。</w:t>
            </w:r>
          </w:p>
        </w:tc>
        <w:tc>
          <w:tcPr>
            <w:tcW w:w="3337" w:type="dxa"/>
            <w:gridSpan w:val="2"/>
            <w:tcBorders>
              <w:tl2br w:val="nil"/>
              <w:tr2bl w:val="nil"/>
            </w:tcBorders>
            <w:vAlign w:val="center"/>
          </w:tcPr>
          <w:p>
            <w:pPr>
              <w:pStyle w:val="11"/>
              <w:spacing w:before="0" w:beforeAutospacing="0" w:after="0" w:afterAutospacing="0"/>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处1500元以上3500元以下的罚款。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pStyle w:val="11"/>
              <w:spacing w:before="0" w:beforeAutospacing="0" w:after="0" w:afterAutospacing="0" w:line="240" w:lineRule="auto"/>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经责令限期改正，逾期30日以上未改正的。</w:t>
            </w:r>
          </w:p>
        </w:tc>
        <w:tc>
          <w:tcPr>
            <w:tcW w:w="3337" w:type="dxa"/>
            <w:gridSpan w:val="2"/>
            <w:tcBorders>
              <w:tl2br w:val="nil"/>
              <w:tr2bl w:val="nil"/>
            </w:tcBorders>
            <w:vAlign w:val="center"/>
          </w:tcPr>
          <w:p>
            <w:pPr>
              <w:pStyle w:val="11"/>
              <w:spacing w:before="0" w:beforeAutospacing="0" w:after="0" w:afterAutospacing="0"/>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处3500元以上5000元以下的罚款。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411"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有下列行为：（一）不履行注册造价工程师义务；（二）在执业过程中，索贿、受贿或者谋取合同约定费用外的其他利益；（三）在执业过程中实施商业贿赂；（四）签署有虚假记载、误导性陈述的工程造价成果文件；（五）以个人名义承接工程造价业务；（六）允许他人以自己名义从事工程造价业务；（七）同时在两个或者两个以上单位执业；（八）涂改、倒卖、出租、出借或者以其他形式非法转让注册证书或者执业印章；（九）法律、法规、规章禁止的其他行为。</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《注册造价工程师管理办法》第二十条</w:t>
            </w:r>
          </w:p>
        </w:tc>
        <w:tc>
          <w:tcPr>
            <w:tcW w:w="4354" w:type="dxa"/>
            <w:gridSpan w:val="4"/>
            <w:vMerge w:val="restart"/>
            <w:tcBorders>
              <w:tl2br w:val="nil"/>
              <w:tr2bl w:val="nil"/>
            </w:tcBorders>
            <w:vAlign w:val="center"/>
          </w:tcPr>
          <w:p>
            <w:pPr>
              <w:pStyle w:val="11"/>
              <w:spacing w:before="90" w:line="240" w:lineRule="auto"/>
              <w:ind w:right="45"/>
              <w:rPr>
                <w:rFonts w:ascii="仿宋_GB2312" w:eastAsia="仿宋_GB2312" w:cstheme="minorBidi"/>
                <w:color w:val="000000" w:themeColor="text1"/>
                <w:sz w:val="21"/>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《注册造价工程师管理办法》第三十六条</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有本办法第二十条规定行为之一的，由县级以上地方人民政府建设主管部门或者其他有关部门给予警告，责令改正，没有违法所得的，处以1万元以下罚款，有违法所得的，处以违法所得3倍以下且不超过3万元的罚款：</w:t>
            </w:r>
          </w:p>
          <w:p>
            <w:pPr>
              <w:pStyle w:val="11"/>
              <w:spacing w:before="90" w:line="240" w:lineRule="auto"/>
              <w:ind w:right="45"/>
              <w:rPr>
                <w:rFonts w:ascii="仿宋_GB2312" w:eastAsia="仿宋_GB2312" w:cstheme="minorBidi"/>
                <w:color w:val="000000" w:themeColor="text1"/>
                <w:sz w:val="21"/>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没有违法所得，且未造成危害后果或造成轻微危害后果的。</w:t>
            </w:r>
          </w:p>
        </w:tc>
        <w:tc>
          <w:tcPr>
            <w:tcW w:w="3337" w:type="dxa"/>
            <w:gridSpan w:val="2"/>
            <w:tcBorders>
              <w:tl2br w:val="nil"/>
              <w:tr2bl w:val="nil"/>
            </w:tcBorders>
            <w:vAlign w:val="center"/>
          </w:tcPr>
          <w:p>
            <w:pPr>
              <w:spacing w:line="240" w:lineRule="auto"/>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（1）违法所得在5千元以下的。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（1）违法所得在5千元以上1万元以下的或造成一定危害后果、影响的。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（3）违法所得在1万元以上的。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注册造价工程师或者其聘用单位未按照要求提供造价工程师信用档案信息</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《注册造价工程师管理办法》第三十七条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注册造价工程师或者其聘用单位未按照要求提供造价工程师信用档案信息的，由县级以上地方人民政府建设主管部门或者其他有关部门责令限期改正；逾期未改正的，可处以1000元以上1万元以下的罚款。</w:t>
            </w:r>
          </w:p>
        </w:tc>
        <w:tc>
          <w:tcPr>
            <w:tcW w:w="1101" w:type="dxa"/>
            <w:gridSpan w:val="3"/>
            <w:tcBorders>
              <w:tl2br w:val="nil"/>
              <w:tr2bl w:val="nil"/>
            </w:tcBorders>
            <w:vAlign w:val="center"/>
          </w:tcPr>
          <w:p>
            <w:pPr>
              <w:widowControl/>
              <w:spacing w:line="240" w:lineRule="auto"/>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经责令限期改正，逾期15日以上30日以内改正的。</w:t>
            </w:r>
          </w:p>
        </w:tc>
        <w:tc>
          <w:tcPr>
            <w:tcW w:w="3337" w:type="dxa"/>
            <w:gridSpan w:val="2"/>
            <w:tcBorders>
              <w:tl2br w:val="nil"/>
              <w:tr2bl w:val="nil"/>
            </w:tcBorders>
            <w:vAlign w:val="center"/>
          </w:tcPr>
          <w:p>
            <w:pPr>
              <w:widowControl/>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2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经责令限期改正，逾期30日以上未改正的。</w:t>
            </w:r>
          </w:p>
        </w:tc>
        <w:tc>
          <w:tcPr>
            <w:tcW w:w="3337" w:type="dxa"/>
            <w:gridSpan w:val="2"/>
            <w:tcBorders>
              <w:tl2br w:val="nil"/>
              <w:tr2bl w:val="nil"/>
            </w:tcBorders>
            <w:vAlign w:val="center"/>
          </w:tcPr>
          <w:p>
            <w:pPr>
              <w:widowControl/>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40</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《注册建造师管理规定》第三十四条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《注册建造师管理规定》第三十四条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的，由注册机关撤销其注册，3年内不得再次申请注册，并由县级以上地方人民政府建设主管部门处以罚款。其中没有违法所得的，处以1万元以下的罚款；有违法所得的，处以违法所得3倍以下且不超过3万元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由注册机关撤销其注册，3年内不得再次申请注册，处3千元以下的罚款。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（1）违法所得在1万元以下的。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由注册机关撤销其注册，3年内不得再次申请注册，处以违法所得1倍以下且不超过3万元的罚款。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由注册机关撤销其注册，3年内不得再次申请注册，处3千元以上7千元以下的罚款。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3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（1）违法所得在1万元以上3万元以下的。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由注册机关撤销其注册，3年内不得再次申请注册，处以违法所得1倍以上2倍以下且不超过3万元的罚款。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由注册机关撤销其注册，3年内不得再次申请注册，处7000元以上1万元以下的罚款。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（3）违法所得在3万元以上的。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由注册机关撤销其注册，3年内不得再次申请注册，处以违法所得2倍以上3倍以下且不超过3万元的罚款。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4"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41</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未取得注册证书和执业印章，担任大中型建设工程项目施工单位项目负责人，或者以注册建造师的名义从事相关活动</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《注册建造师管理规定》第三十五条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未取得注册证书和执业印章，担任大中型建设工程项目施工单位项目负责人，或者以注册建造师的名义从事相关活动的，其所签署的工程文件无效，由县级以上地方人民政府建设主管部门或者其他有关部门给予警告，责令停止违法活动，并可处以1万元以上3万元以下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违法所得在1万元以下的。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其所签署的工程文件无效，给予警告，责令停止违法活动，可处以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违法所得在1万元以上3万元以下的。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其所签署的工程文件无效，给予警告，责令停止违法活动，处以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违法所得在3万元以上的。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其所签署的工程文件无效，给予警告，责令停止违法活动，处以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4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42</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未办理变更注册而继续执业</w:t>
            </w:r>
          </w:p>
        </w:tc>
        <w:tc>
          <w:tcPr>
            <w:tcW w:w="1128" w:type="dxa"/>
            <w:gridSpan w:val="2"/>
            <w:vMerge w:val="restart"/>
            <w:tcBorders>
              <w:tl2br w:val="nil"/>
              <w:tr2bl w:val="nil"/>
            </w:tcBorders>
            <w:vAlign w:val="center"/>
          </w:tcPr>
          <w:p>
            <w:pPr>
              <w:spacing w:line="240" w:lineRule="auto"/>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《注册建造师管理规定》第十三条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《注册建造师管理规定》第三十六条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违反本规定，未办理变更注册而继续执业的，由县级以上地方人民政府建设主管部门或者其他有关部门责令限期改正；逾期不改正的，可处以5000元以下的罚款。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经责令限期改正，逾期15日以上30日以内改正的。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可处1500元以上3500元以下的罚款。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经责令限期改正，逾期30日以上未改正的。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可处3500元以上5000元以下的罚款。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注册建造师不得有下列行为：（一）不履行注册建造师义务；（二）在执业过程中，索贿、受贿或者谋取合同约定费用外的其他利益；（三）在执业过程中实施商业贿赂；（四）签署有虚假记载等不合格的文件；</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五）允许他人以自己的名义从事执业活动；（六）同时在两个或者两个以上单位受聘或者执业（七）涂改、倒卖、出租、出借或以其他形式非法转让资格证书、注册证书和执业印章（八）超出执业范围和聘用单位业务范围内从事执业活动；（九） 法律、法规、规章禁止的其他行为。</w:t>
            </w:r>
          </w:p>
        </w:tc>
        <w:tc>
          <w:tcPr>
            <w:tcW w:w="1128" w:type="dxa"/>
            <w:gridSpan w:val="2"/>
            <w:vMerge w:val="restart"/>
            <w:tcBorders>
              <w:tl2br w:val="nil"/>
              <w:tr2bl w:val="nil"/>
            </w:tcBorders>
            <w:vAlign w:val="center"/>
          </w:tcPr>
          <w:p>
            <w:pPr>
              <w:spacing w:line="240" w:lineRule="auto"/>
              <w:jc w:val="left"/>
              <w:rPr>
                <w:rFonts w:ascii="仿宋_GB2312" w:eastAsia="仿宋_GB2312"/>
                <w:color w:val="000000" w:themeColor="text1"/>
                <w:kern w:val="0"/>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《注册建造师管理规定》第二十六条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《注册建造师管理规定》第三十七条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注册建造师在执业活动中有第二十六条所列行为之一的，由县级以上地方人民政府建设主管部门或者其他有关部门给予警告，责令改正，没有违法所得的，处以1万元以下的罚款；有违法所得的，处以违法所得3倍以下且不超过3万元的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（1）违法所得在1万元以下的。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9"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（1）违法所得在1万元以上3万元以下的。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709"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（3）违法所得在3万元以上的。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44</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注册建造师或者其聘用单位未按照要求提供注册建造师信用档案信息</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《注册建造师管理规定》第三十二条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《注册建造师管理规定》第三十八条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违反本规定，注册建造师或者其聘用单位未按照要求提供注册建造师信用档案信息的，由县级以上地方人民政府建设主管部门或者其他有关部门责令限期改正；逾期未改正的，可处以1000元以上1万元以下的罚款。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1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经责令限期改正，逾期15日以上30日以内改正的。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经责令限期改正，逾期30日以上未改正的。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45</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聘用单位为申请人提供虚假注册材料</w:t>
            </w:r>
          </w:p>
        </w:tc>
        <w:tc>
          <w:tcPr>
            <w:tcW w:w="1128" w:type="dxa"/>
            <w:gridSpan w:val="2"/>
            <w:vMerge w:val="restart"/>
            <w:tcBorders>
              <w:tl2br w:val="nil"/>
              <w:tr2bl w:val="nil"/>
            </w:tcBorders>
            <w:vAlign w:val="center"/>
          </w:tcPr>
          <w:p>
            <w:pPr>
              <w:spacing w:line="240" w:lineRule="auto"/>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《注册建造师管理规定》第三十九条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《注册建造师管理规定》第三十九条</w:t>
            </w:r>
          </w:p>
          <w:p>
            <w:pPr>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聘用单位为申请人提供虚假注册材料的，由县级以上地方人民政府建设主管部门或者其他有关部门给予警告，责令限期改正；逾期未改正的，可处以1万元以上3万元以下的罚款。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聘用单位为1个申请人提供虚假注册材料，给予警告，责令限期改正，逾期未改正的。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聘用单位为2个以上5个以下申请人提供虚假注册材料，给予警告，责令限期改正，逾期未改正的。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2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聘用单位为5个以上申请人提供虚假注册材料，给予警告，责令限期改正，逾期未改正的。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46</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《注册监理工程师管理规定》第二十八条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《注册监理工程师管理规定》第二十八条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的，由国务院建设主管部门撤销其注册，3年内不得再次申请注册，并由县级以上地方人民政府建设主管部门处以罚款，其中没有违法所得的，处以1万元以下罚款，有违法所得的，处以违法所得3倍以下且不超过3万元的罚款；构成犯罪的，依法追究刑事责任。</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没有违法所得，未造成严重后果的。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（1）违法所得在1万元以下的。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撤销其注册，3年内不得再次申请注册；处以违法所得1倍以下且不超过3万元的罚款。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撤销其注册，3年内不得再次申请注册；处3千元以上7千元以下的罚款。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（1）违法所得在1万元以上3万元以下的。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撤销其注册，3年内不得再次申请注册；处以违法所得1倍以上2倍以下且不超过3万元的罚款。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撤销其注册，3年内不得再次申请注册；处7千元以上1万元以下的罚款。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65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（3）违法所得在3万元以上的。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撤销其注册，3年内不得再次申请注册；处以违法所得2倍以上3倍以下且不超过3万元的罚款。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47</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未经注册，擅自以注册监理工程师的名义从事工程监理及相关业务活动</w:t>
            </w:r>
          </w:p>
        </w:tc>
        <w:tc>
          <w:tcPr>
            <w:tcW w:w="1128" w:type="dxa"/>
            <w:gridSpan w:val="2"/>
            <w:vMerge w:val="restart"/>
            <w:tcBorders>
              <w:tl2br w:val="nil"/>
              <w:tr2bl w:val="nil"/>
            </w:tcBorders>
            <w:vAlign w:val="center"/>
          </w:tcPr>
          <w:p>
            <w:pPr>
              <w:widowControl/>
              <w:spacing w:line="240" w:lineRule="auto"/>
              <w:ind w:right="279" w:rightChars="133"/>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《注册监理工程师管理规定》第五条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《注册监理工程师管理规定》第二十九条</w:t>
            </w:r>
          </w:p>
          <w:p>
            <w:pPr>
              <w:spacing w:line="240" w:lineRule="auto"/>
              <w:ind w:firstLine="315" w:firstLineChars="1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未经注册，擅自以注册监理工程师的名义从事工程监理及相关业务活动的，由县级以上地方人民政府建设主管部门给予警告，责令停止违法行为，处以3万元以下的罚款；造成损失的，依法承担赔偿责任。</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初次违法，危害后果不重，主动消除或减轻违法行为危害后果的。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给予警告，责令停止违法行为，处以 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给予警告，责令停止违法行为，处以 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1981" w:type="dxa"/>
            <w:gridSpan w:val="2"/>
            <w:tcBorders>
              <w:tl2br w:val="nil"/>
              <w:tr2bl w:val="nil"/>
            </w:tcBorders>
            <w:vAlign w:val="center"/>
          </w:tcPr>
          <w:p>
            <w:pPr>
              <w:widowControl/>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（1）责令改正，拒不改正的；</w:t>
            </w:r>
          </w:p>
          <w:p>
            <w:pPr>
              <w:widowControl/>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widowControl/>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（3）严重扰乱工程监理市场秩序的；</w:t>
            </w:r>
          </w:p>
          <w:p>
            <w:pPr>
              <w:widowControl/>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给予警告，责令停止违法行为，处以 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48</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注册监理工程师未办理变更注册仍执业</w:t>
            </w:r>
          </w:p>
        </w:tc>
        <w:tc>
          <w:tcPr>
            <w:tcW w:w="1128" w:type="dxa"/>
            <w:gridSpan w:val="2"/>
            <w:vMerge w:val="restart"/>
            <w:tcBorders>
              <w:tl2br w:val="nil"/>
              <w:tr2bl w:val="nil"/>
            </w:tcBorders>
            <w:vAlign w:val="center"/>
          </w:tcPr>
          <w:p>
            <w:pPr>
              <w:pStyle w:val="11"/>
              <w:spacing w:before="0" w:beforeAutospacing="0" w:after="0" w:afterAutospacing="0" w:line="240" w:lineRule="auto"/>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《注册监理工程师管理规定》第十二条</w:t>
            </w:r>
          </w:p>
          <w:p>
            <w:pPr>
              <w:pStyle w:val="11"/>
              <w:spacing w:before="0" w:beforeAutospacing="0" w:after="0" w:afterAutospacing="0" w:line="240" w:lineRule="auto"/>
              <w:rPr>
                <w:rFonts w:ascii="仿宋_GB2312" w:eastAsia="仿宋_GB2312" w:cstheme="minorBidi"/>
                <w:color w:val="000000" w:themeColor="text1"/>
                <w:sz w:val="21"/>
                <w:szCs w:val="21"/>
                <w14:textFill>
                  <w14:solidFill>
                    <w14:schemeClr w14:val="tx1"/>
                  </w14:solidFill>
                </w14:textFill>
              </w:rPr>
            </w:pP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注册监理工程师管理规定》第三十条</w:t>
            </w:r>
          </w:p>
          <w:p>
            <w:pPr>
              <w:spacing w:line="240" w:lineRule="auto"/>
              <w:jc w:val="left"/>
              <w:rPr>
                <w:rFonts w:ascii="仿宋_GB2312"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违反本规定，未办理变更注册仍执业的，由县级以上地方人民政府建设主管部门给予警告，责令限期改正，逾期不改的，可处以5000元以下的罚款。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初次违法，危害后果不重，主动消除或减轻违法行为危害后果的。</w:t>
            </w:r>
          </w:p>
        </w:tc>
        <w:tc>
          <w:tcPr>
            <w:tcW w:w="3337" w:type="dxa"/>
            <w:gridSpan w:val="2"/>
            <w:tcBorders>
              <w:tl2br w:val="nil"/>
              <w:tr2bl w:val="nil"/>
            </w:tcBorders>
            <w:vAlign w:val="center"/>
          </w:tcPr>
          <w:p>
            <w:pPr>
              <w:pStyle w:val="11"/>
              <w:spacing w:before="0" w:beforeAutospacing="0" w:after="0" w:afterAutospacing="0" w:line="240" w:lineRule="auto"/>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给予警告，责令限期改正，可处1500元以下的罚款。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337" w:type="dxa"/>
            <w:gridSpan w:val="2"/>
            <w:tcBorders>
              <w:tl2br w:val="nil"/>
              <w:tr2bl w:val="nil"/>
            </w:tcBorders>
            <w:vAlign w:val="center"/>
          </w:tcPr>
          <w:p>
            <w:pPr>
              <w:pStyle w:val="11"/>
              <w:spacing w:before="0" w:after="0" w:line="240" w:lineRule="auto"/>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给予警告，责令限期改正，可处1500元以上3500元以下的罚款。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（1）责令改正，拒不改正的；</w:t>
            </w:r>
          </w:p>
          <w:p>
            <w:pPr>
              <w:widowControl/>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widowControl/>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（3）严重扰乱工程监理市场秩序的；</w:t>
            </w:r>
          </w:p>
          <w:p>
            <w:pPr>
              <w:widowControl/>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337" w:type="dxa"/>
            <w:gridSpan w:val="2"/>
            <w:tcBorders>
              <w:tl2br w:val="nil"/>
              <w:tr2bl w:val="nil"/>
            </w:tcBorders>
            <w:vAlign w:val="center"/>
          </w:tcPr>
          <w:p>
            <w:pPr>
              <w:pStyle w:val="11"/>
              <w:spacing w:before="0" w:beforeAutospacing="0" w:after="0" w:afterAutospacing="0" w:line="240" w:lineRule="auto"/>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给予警告，责令限期改正，可处3500元以上5000元以下的罚款。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49</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以个人名义承接业务的；（二）涂改、倒卖、出租、出借或者以其他形式非法转让注册证书或者执业印章的（三）泄露执业中应当保守的秘密并造成严重后果的；（四）超出规定执业范围或者聘用单位业务范围从事执业活动的；（五）弄虚作假提供执业活动成果的；（六）同时受聘于两个或者两个以上的单位，从事执业活动的；（七）其它违反法律、法规、规章的行为。</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《注册监理工程师管理规定》第十七条</w:t>
            </w:r>
          </w:p>
        </w:tc>
        <w:tc>
          <w:tcPr>
            <w:tcW w:w="4354" w:type="dxa"/>
            <w:gridSpan w:val="4"/>
            <w:vMerge w:val="restart"/>
            <w:tcBorders>
              <w:tl2br w:val="nil"/>
              <w:tr2bl w:val="nil"/>
            </w:tcBorders>
            <w:vAlign w:val="center"/>
          </w:tcPr>
          <w:p>
            <w:pPr>
              <w:spacing w:line="240" w:lineRule="auto"/>
              <w:ind w:left="105" w:hanging="105" w:hangingChars="5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《注册监理工程师管理规定》第三十一条</w:t>
            </w:r>
          </w:p>
          <w:p>
            <w:pPr>
              <w:tabs>
                <w:tab w:val="left" w:pos="145"/>
                <w:tab w:val="left" w:pos="286"/>
              </w:tabs>
              <w:spacing w:line="240" w:lineRule="auto"/>
              <w:ind w:left="105" w:left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　（一）以个人名义承接业务的；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　（二）涂改、倒卖、出租、出借或者以其他形式非法转让注册证书或者执业印章的；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　（三）泄露执业中应当保守的秘密并造成严重后果的；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　（四）超出规定执业范围或者聘用单位业务范围从事执业活动的；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　（五）弄虚作假提供执业活动成果的；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　（六）同时受聘于两个或者两个以上的单位，从事执业活动的；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　（七）其它违反法律、法规、规章的行为。</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（1）违法所得在1万元以下的。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9"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00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（1）违法所得在1万元以上3万元以下的。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（3）违法所得在3万元以上的。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50</w:t>
            </w:r>
          </w:p>
        </w:tc>
        <w:tc>
          <w:tcPr>
            <w:tcW w:w="1376"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《勘察设计注册工程师管理规定》第二十九条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《勘察设计注册工程师管理规定》第二十九条</w:t>
            </w:r>
          </w:p>
          <w:p>
            <w:pPr>
              <w:widowControl/>
              <w:spacing w:line="240" w:lineRule="auto"/>
              <w:ind w:firstLine="210" w:firstLineChars="100"/>
              <w:jc w:val="left"/>
              <w:rPr>
                <w:rFonts w:ascii="宋体" w:hAnsi="宋体" w:cs="宋体"/>
                <w:bCs/>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的，由负责审批的部门撤销其注册，3年内不得再次申请注册；并由县级以上人民政府建设主管部门或者有关部门处以罚款，其中没有违法所得的，处以1万元以下的罚款；有违法所得的，处以违法所得3倍以上但不超过3万元的罚款；构成犯罪的，依法追究刑事责任</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由负责审批的部门撤销其注册，3年内不得再次申请注册；处3千元以下的罚款。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（1）违法所得在1万元以下的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由负责审批的部门撤销其注册，3年内不得再次申请注册；处以违法所得3倍以上3.5倍以下但不超过3万元的罚款。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由负责审批的部门撤销其注册，3年内不得再次申请注册；处3千元以上7千元以下的罚款。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419"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（1）违法所得在1万元以上3万元以下的。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由负责审批的部门撤销其注册，3年内不得再次申请注册；处以违法所得3.5倍以上4倍以下但不超过3万元的罚款。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由负责审批的部门撤销其注册，3年内不得再次申请注册；处7千元以上1万元以下的罚款。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（3）违法所得在3万元以上的。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由负责审批的部门撤销其注册，3年内不得再次申请注册；处以违法所得4倍以上但不超过3万元的罚款。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6"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51</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（一）以个人名义承接业务的；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（二）涂改、出租、出借或者以形式非法转让注册证书或者执业印章的；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（三）泄露执业中应当保守的秘密并造成严重后果的；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（四）超出本专业规定范围或者聘用单位业务范围从事执业活动的；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（五）弄虚作假提供执业活动成果的；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（六）其它违反法律、法规、规章的行为。</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《勘察设计注册工程师管理规定》第十八条</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《勘察设计注册工程师管理规定》第二十七条</w:t>
            </w:r>
          </w:p>
          <w:p>
            <w:pPr>
              <w:widowControl/>
              <w:spacing w:line="240" w:lineRule="auto"/>
              <w:jc w:val="left"/>
              <w:rPr>
                <w:rFonts w:ascii="宋体" w:hAnsi="宋体" w:cs="宋体"/>
                <w:color w:val="000000" w:themeColor="text1"/>
                <w:kern w:val="0"/>
                <w:szCs w:val="21"/>
                <w14:textFill>
                  <w14:solidFill>
                    <w14:schemeClr w14:val="tx1"/>
                  </w14:solidFill>
                </w14:textFill>
              </w:rPr>
            </w:pP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《勘察设计注册工程师管理规定》第三十条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工程师在执业活动中有下列行为之一的，由县级以上人民政府建设主管部门或者有关部门予以警告，责令其改正，没有违法所得的，处以1万元以下的罚款；有违法所得的，处以违法所得3倍以下且不超过3万元的罚款；造成损失的，应当承担赔偿责任；构成犯罪的，依法追究刑事责任</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（一）以个人名义承接业务的；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（二）涂改、出租、出借或者以形式非法转让注册证书或者执业印章的；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（三）泄露执业中应当保守的秘密并造成严重后果的；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（四）超出本专业规定范围或者聘用单位业务范围从事执业活动的；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（五）弄虚作假提供执业活动成果的；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（六）其它违反法律、法规、规章的行为。</w:t>
            </w:r>
          </w:p>
          <w:p>
            <w:pPr>
              <w:spacing w:line="240" w:lineRule="auto"/>
              <w:jc w:val="left"/>
              <w:rPr>
                <w:rFonts w:ascii="宋体" w:hAnsi="宋体" w:cs="宋体"/>
                <w:bCs/>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予以警告，责令其改正，处3千元以下的罚款。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（1）违法所得在1万元以下的。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予以警告，责令其改正，处以违法所得3倍以上3.5倍以下但不超过3万元的罚款。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予以警告；责令其改正，处3千元以上7千元以下的罚款。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68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（1）违法所得在1万元以上3万元以下的。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予以警告，责令其改正，处以违法所得3.5倍以上4倍以下但不超过3万元的罚款。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予以警告，责令其改正，处7千元以上1万元以下的罚款。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（3）违法所得在3万元以上的。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予以警告，处以违法所得4倍以上但不超过3万元的罚款。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0"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52</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恶意拖欠分包企业工程款或者劳务人员工资的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tc>
        <w:tc>
          <w:tcPr>
            <w:tcW w:w="4354" w:type="dxa"/>
            <w:gridSpan w:val="4"/>
            <w:vMerge w:val="restart"/>
            <w:tcBorders>
              <w:tl2br w:val="nil"/>
              <w:tr2bl w:val="nil"/>
            </w:tcBorders>
            <w:vAlign w:val="center"/>
          </w:tcPr>
          <w:p>
            <w:pPr>
              <w:spacing w:line="240" w:lineRule="auto"/>
              <w:ind w:left="105" w:hanging="105" w:hanging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《建筑业企业资质管理规定》第三十七条</w:t>
            </w:r>
          </w:p>
          <w:p>
            <w:pPr>
              <w:spacing w:line="240" w:lineRule="auto"/>
              <w:ind w:left="105" w:leftChars="50"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ind w:left="105" w:hanging="105" w:hanging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p>
            <w:pPr>
              <w:spacing w:line="240" w:lineRule="auto"/>
              <w:ind w:left="105" w:left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企业申请建筑业企业资质升级、资质增项，在申请之日起前一年至资质许可决定作出前，有下列情形之一的，资质许可机关不予批准其建筑业企业资质升级申请和增项申请：</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（六）恶意拖欠分包企业工程款或者劳务人员工资的；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（2）足以影响建设市场秩序和社会稳定的。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836"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53</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伪造、变造、倒卖、出租、出借或者以其他形式非法转让建筑业企业资质证书的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《建筑业企业资质管理规定》第三十七条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企业申请建筑业企业资质升级、资质增项，在申请之日起前一年至资质许可决定作出前，有下列情形之一的，资质许可机关不予批准其建筑业企业资质升级申请和增项申请：</w:t>
            </w:r>
          </w:p>
          <w:p>
            <w:pPr>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（十）伪造、变造、倒卖、出租、出借或者以其他形式非法转让建筑业企业资质证书的；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（2）足以影响建设市场秩序和社会稳定的。</w:t>
            </w:r>
          </w:p>
          <w:p>
            <w:pPr>
              <w:widowControl/>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54</w:t>
            </w:r>
          </w:p>
        </w:tc>
        <w:tc>
          <w:tcPr>
            <w:tcW w:w="1376"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发生过较大以上质量安全事故或者发生过两起以上一般质量安全事故的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《建筑业企业资质管理规定》第三十七条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企业申请建筑业企业资质升级、资质增项，在申请之日起前一年至资质许可决定作出前，有下列情形之一的，资质许可机关不予批准其建筑业企业资质升级申请和增项申请：</w:t>
            </w:r>
          </w:p>
          <w:p>
            <w:pPr>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（十一）发生过较大以上质量安全事故或者发生过两起以上一般质量安全事故的；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发生过两起一般质量安全事故的。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p>
            <w:pPr>
              <w:spacing w:line="240" w:lineRule="auto"/>
              <w:jc w:val="center"/>
              <w:rPr>
                <w:rFonts w:ascii="黑体" w:hAnsi="黑体" w:eastAsia="黑体" w:cs="黑体"/>
                <w:color w:val="000000" w:themeColor="text1"/>
                <w:kern w:val="0"/>
                <w:szCs w:val="21"/>
                <w14:textFill>
                  <w14:solidFill>
                    <w14:schemeClr w14:val="tx1"/>
                  </w14:solidFill>
                </w14:textFill>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发生过三起一般质量安全事故的。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发生过三起以上一般质量安全事故或较大以上质量安全事故的。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694"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55</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企业申请建筑业企业资质升级、资质增项，在申请之日起前一年至资质许可决定作出前有其它违反法律、法规的行为</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《建筑业企业资质管理规定》第三十七条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企业申请建筑业企业资质升级、资质增项，在申请之日起前一年至资质许可决定作出前，有下列情形之一的，资质许可机关不予批准其建筑业企业资质升级申请和增项申请：</w:t>
            </w:r>
          </w:p>
          <w:p>
            <w:pPr>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（十二）其它违反法律、法规的行为。</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给予警告，责令改正，处1万元以上1.5万以下的罚款。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56</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企业未按照本规定及时办理建筑业企业资质证书变更手续，责令限期办理且逾期不办理</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《建筑业企业资质管理规定》第三十八条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企业未按照本规定及时办理建筑业企业资质证书变更手续的，由县级以上地方人民政府住房城乡建设主管部门责令限期办理；逾期不办理的，可处以1000元以上1万元以下的罚款。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71"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57</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企业在接受监督检查时，不如实提供有关材料，或者拒绝、阻碍监督检查</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《建筑业企业资质管理规定》第二十五条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《建筑业企业资质管理规定》第三十九条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企业在接受监督检查时，不如实提供有关材料，或者拒绝、阻碍监督检查的，由县级以上地方人民政府住房城乡建设主管部门责令限期改正，并可以处3万元以下罚款。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责令限期改正，可以处1万以上2万元以下罚款。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责令限期改正，可以处2万以上3万元以下罚款。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58</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企业未按照本规定要求提供企业信用档案信息，责令限期改正且逾期未改正</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《建筑业企业资质管理规定》第三十二条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《建筑业企业资质管理规定》第四十条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企业未按照本规定要求提供企业信用档案信息的，由县级以上地方人民政府住房城乡建设主管部门或者其他有关部门给予警告，责令限期改正；逾期未改正的，可处以1000元以上1万元以下的罚款。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（2）足以影响建设市场秩序和社会稳定的；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00"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59</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工程监理企业以欺骗贿赂等不正当手段取得工程监理企业资质证书</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《工程监理企业资质管理规定》第二十四条第二款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《工程监理企业资质管理规定》第二十八条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以欺骗、贿赂等不正当手段取得工程监理企业资质证书的，由县级以上地方人民政府建设主管部门或有关部门给予警告，并处1万元以上2万元以下罚款，申请人3年内不得再次申请工程监理企业资质。</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取得资质证书但尚未承接业务。</w:t>
            </w:r>
          </w:p>
        </w:tc>
        <w:tc>
          <w:tcPr>
            <w:tcW w:w="3337" w:type="dxa"/>
            <w:gridSpan w:val="2"/>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给予警告，并处1万元以下罚款 ，申请人3年内不得再次申请工程监理企业资质。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取得资质证书且已经承接业务。</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给予警告，并处1-1.5万元罚款，申请人3年内不得再次申请工程监理企业资质。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取得资质证书已承接业务，且造成较严重的后果或事故的。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给予警告，并处1.5-2万元罚款，申请人3年内不得再次申请工程监理企业资质。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60</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工程监理企业在监理过程中实施商业贿赂</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《工程监理企业资质管理规定》第十六条第(七)项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《工程监理企业资质管理规定》第二十九条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有本规定第十六条第七项、第八项行为之一的，由县级以上地方人民政府建设主管部门或者有关部门予以警告，责令其改正，并处1万元以上3万元以下的罚款；造成损失的，依法承担赔偿责任；构成犯罪的，依法追究刑事责任。</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《工程监理企业资质管理规定》第十六条</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工程监理企业不得有下列行为：</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（七）在监理过程中实施商业贿赂；</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贿赂金额1万元以下的。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84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贿赂金额1万元以上5万元以下的。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贿赂金额5万元以上的。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7"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61</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工程监理企业涂改、伪造、出借、转让工程监理企业资质证书</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《工程监理企业资质管理规定》第十六条第(八)项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《工程监理企业资质管理规定》第二十九条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有本规定第十六条第七项、第八项行为之一的，由县级以上地方人民政府建设主管部门或者有关部门予以警告，责令其改正，并处1万元以上3万元以下的罚款；造成损失的，依法承担赔偿责任；构成犯罪的，依法追究刑事责任。</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《工程监理企业资质管理规定》第十六条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工程监理企业不得有下列行为：</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（八）涂改、伪造、出借、转让工程监理企业资质证书；</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5" w:hRule="atLeast"/>
          <w:jc w:val="center"/>
        </w:trPr>
        <w:tc>
          <w:tcPr>
            <w:tcW w:w="533" w:type="dxa"/>
            <w:gridSpan w:val="2"/>
            <w:vMerge w:val="continue"/>
            <w:tcBorders>
              <w:tl2br w:val="nil"/>
              <w:tr2bl w:val="nil"/>
            </w:tcBorders>
            <w:vAlign w:val="center"/>
          </w:tcPr>
          <w:p>
            <w:pPr>
              <w:widowControl/>
              <w:spacing w:line="240" w:lineRule="auto"/>
              <w:ind w:firstLine="90" w:firstLineChars="50"/>
              <w:jc w:val="center"/>
              <w:rPr>
                <w:rFonts w:ascii="仿宋_GB2312" w:hAnsi="宋体" w:eastAsia="仿宋_GB2312" w:cs="Times New Roman"/>
                <w:color w:val="000000" w:themeColor="text1"/>
                <w:sz w:val="18"/>
                <w:szCs w:val="18"/>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widowControl/>
              <w:spacing w:line="240" w:lineRule="auto"/>
              <w:ind w:firstLine="90" w:firstLineChars="50"/>
              <w:jc w:val="center"/>
              <w:rPr>
                <w:rFonts w:ascii="仿宋_GB2312" w:hAnsi="宋体" w:eastAsia="仿宋_GB2312" w:cs="Times New Roman"/>
                <w:color w:val="000000" w:themeColor="text1"/>
                <w:sz w:val="18"/>
                <w:szCs w:val="18"/>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62</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工程监理企业不及时办理资质证书变更手续且逾期不办理</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《工程监理企业资质管理规定》第十四条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《工程监理企业资质管理规定》第三十条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违反本规定，工程监理企业不及时办理资质证书变更手续的，由资质许可机关责令限期办理；逾期不办理的，可处1千元以上1万元以下罚款。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4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逾期30日以上未改正的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63</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工程监理企业未按照本规定要求提供工程监理企业信用档案信息且逾期不办理</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《工程监理企业资质管理规定》第二十六条第一款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《工程监理企业资质管理规定》第三十一条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工程监理企业未按照本规定要求提供工程监理企业信用档案信息的，由县级以上地方人民政府建设主管部门予以警告，责令限期改正；逾期未改正的，可处以1千元以上1万元以下的罚款。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逾期30日以上未改正的。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64</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企业不及时办理资质证书变更手续且逾期不办理的</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《建设工程勘察设计资质管理规定》第十三条</w:t>
            </w:r>
          </w:p>
        </w:tc>
        <w:tc>
          <w:tcPr>
            <w:tcW w:w="4354" w:type="dxa"/>
            <w:gridSpan w:val="4"/>
            <w:vMerge w:val="restart"/>
            <w:tcBorders>
              <w:tl2br w:val="nil"/>
              <w:tr2bl w:val="nil"/>
            </w:tcBorders>
            <w:vAlign w:val="center"/>
          </w:tcPr>
          <w:p>
            <w:pPr>
              <w:widowControl/>
              <w:spacing w:line="240" w:lineRule="auto"/>
              <w:jc w:val="left"/>
              <w:rPr>
                <w:rFonts w:ascii="仿宋_GB2312" w:eastAsia="仿宋_GB2312"/>
                <w:bCs/>
                <w:color w:val="000000" w:themeColor="text1"/>
                <w:kern w:val="0"/>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《建设工程勘察设计资质管理规定》</w:t>
            </w:r>
            <w:r>
              <w:rPr>
                <w:rFonts w:hint="eastAsia" w:ascii="仿宋_GB2312" w:eastAsia="仿宋_GB2312"/>
                <w:bCs/>
                <w:color w:val="000000" w:themeColor="text1"/>
                <w:kern w:val="0"/>
                <w14:textFill>
                  <w14:solidFill>
                    <w14:schemeClr w14:val="tx1"/>
                  </w14:solidFill>
                </w14:textFill>
              </w:rPr>
              <w:t>第三十条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企业不及时办理资质证书变更手续的，由资质许可机关责令限期办理；逾期不办理的，可处以1000元以上1万元以下的罚款。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逾期30日以上未改正的。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59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65</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企业未按照规定提供信用档案信息，给予警告，责令限期改正</w:t>
            </w:r>
          </w:p>
        </w:tc>
        <w:tc>
          <w:tcPr>
            <w:tcW w:w="1128" w:type="dxa"/>
            <w:gridSpan w:val="2"/>
            <w:vMerge w:val="restart"/>
            <w:tcBorders>
              <w:tl2br w:val="nil"/>
              <w:tr2bl w:val="nil"/>
            </w:tcBorders>
            <w:vAlign w:val="center"/>
          </w:tcPr>
          <w:p>
            <w:pPr>
              <w:widowControl/>
              <w:spacing w:line="240" w:lineRule="auto"/>
              <w:jc w:val="left"/>
              <w:rPr>
                <w:rFonts w:ascii="宋体" w:hAnsi="宋体"/>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《建设工程勘察设计资质管理规定》</w:t>
            </w:r>
            <w:r>
              <w:rPr>
                <w:rFonts w:hint="eastAsia" w:ascii="仿宋_GB2312" w:eastAsia="仿宋_GB2312"/>
                <w:bCs/>
                <w:color w:val="000000" w:themeColor="text1"/>
                <w:kern w:val="0"/>
                <w14:textFill>
                  <w14:solidFill>
                    <w14:schemeClr w14:val="tx1"/>
                  </w14:solidFill>
                </w14:textFill>
              </w:rPr>
              <w:t>第二十七条</w:t>
            </w:r>
          </w:p>
        </w:tc>
        <w:tc>
          <w:tcPr>
            <w:tcW w:w="4354" w:type="dxa"/>
            <w:gridSpan w:val="4"/>
            <w:vMerge w:val="restart"/>
            <w:tcBorders>
              <w:tl2br w:val="nil"/>
              <w:tr2bl w:val="nil"/>
            </w:tcBorders>
            <w:vAlign w:val="center"/>
          </w:tcPr>
          <w:p>
            <w:pPr>
              <w:widowControl/>
              <w:spacing w:line="240" w:lineRule="auto"/>
              <w:jc w:val="left"/>
              <w:rPr>
                <w:rFonts w:ascii="仿宋_GB2312" w:eastAsia="仿宋_GB2312"/>
                <w:bCs/>
                <w:color w:val="000000" w:themeColor="text1"/>
                <w:kern w:val="0"/>
                <w14:textFill>
                  <w14:solidFill>
                    <w14:schemeClr w14:val="tx1"/>
                  </w14:solidFill>
                </w14:textFill>
              </w:rPr>
            </w:pPr>
            <w:r>
              <w:rPr>
                <w:rFonts w:hint="eastAsia" w:ascii="仿宋_GB2312" w:eastAsia="仿宋_GB2312"/>
                <w:bCs/>
                <w:color w:val="000000" w:themeColor="text1"/>
                <w:kern w:val="0"/>
                <w14:textFill>
                  <w14:solidFill>
                    <w14:schemeClr w14:val="tx1"/>
                  </w14:solidFill>
                </w14:textFill>
              </w:rPr>
              <w:t>《建设工程勘察设计资质管理规定》第三十一条</w:t>
            </w:r>
          </w:p>
          <w:p>
            <w:pPr>
              <w:widowControl/>
              <w:spacing w:line="240" w:lineRule="auto"/>
              <w:ind w:firstLine="210" w:firstLineChars="100"/>
              <w:jc w:val="left"/>
              <w:rPr>
                <w:rFonts w:ascii="仿宋_GB2312" w:eastAsia="仿宋_GB2312"/>
                <w:bCs/>
                <w:color w:val="000000" w:themeColor="text1"/>
                <w:kern w:val="0"/>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企业未按照规定提供信用档案信息的，由县级以上地方人民政府建设主管部门给予警告，责令限期改正；逾期未改正的，可处以1000元以上1万元以下的罚款。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逾期30日以上未改正的。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66</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勘察设计企业涂改、倒卖、出租、出借或者以其他形式非法转让资质证书</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bCs/>
                <w:color w:val="000000" w:themeColor="text1"/>
                <w:kern w:val="0"/>
                <w14:textFill>
                  <w14:solidFill>
                    <w14:schemeClr w14:val="tx1"/>
                  </w14:solidFill>
                </w14:textFill>
              </w:rPr>
              <w:t>《建设工程勘察设计资质管理规定》第三十二条</w:t>
            </w:r>
          </w:p>
        </w:tc>
        <w:tc>
          <w:tcPr>
            <w:tcW w:w="4354" w:type="dxa"/>
            <w:gridSpan w:val="4"/>
            <w:vMerge w:val="restart"/>
            <w:tcBorders>
              <w:tl2br w:val="nil"/>
              <w:tr2bl w:val="nil"/>
            </w:tcBorders>
            <w:vAlign w:val="center"/>
          </w:tcPr>
          <w:p>
            <w:pPr>
              <w:spacing w:line="240" w:lineRule="auto"/>
              <w:jc w:val="left"/>
              <w:rPr>
                <w:rFonts w:ascii="仿宋_GB2312" w:eastAsia="仿宋_GB2312"/>
                <w:bCs/>
                <w:color w:val="000000" w:themeColor="text1"/>
                <w:kern w:val="0"/>
                <w14:textFill>
                  <w14:solidFill>
                    <w14:schemeClr w14:val="tx1"/>
                  </w14:solidFill>
                </w14:textFill>
              </w:rPr>
            </w:pPr>
            <w:r>
              <w:rPr>
                <w:rFonts w:hint="eastAsia" w:ascii="仿宋_GB2312" w:eastAsia="仿宋_GB2312"/>
                <w:bCs/>
                <w:color w:val="000000" w:themeColor="text1"/>
                <w:kern w:val="0"/>
                <w14:textFill>
                  <w14:solidFill>
                    <w14:schemeClr w14:val="tx1"/>
                  </w14:solidFill>
                </w14:textFill>
              </w:rPr>
              <w:t>《建设工程勘察设计资质管理规定》第三十二条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涂改、倒卖、出租、出借或者以其他形式非法转让资质证书的，由县级以上地方人民政府建设主管部门或者有关部门给予警告，责令改正，并处以1万元以上3万元以下的罚款；造成损失的，依法承担赔偿责任；构成犯罪的，依法追究刑事责任。</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98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限期内未改正，逾期30日以上未改正的。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67</w:t>
            </w:r>
          </w:p>
        </w:tc>
        <w:tc>
          <w:tcPr>
            <w:tcW w:w="1376"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“安管人员”涂改、倒卖、出租、出借或者以其他形式非法转让安全生产考核合格证书</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《建筑施工企业主要负责人、项目负责人和专职安全生产管理人员安全生产管理规定》第十三条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《建筑施工企业主要负责人、项目负责人和专职安全生产管理人员安全生产管理规定》第二十八条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“安管人员”涂改、倒卖、出租、出借或者以其他形式非法转让安全生产考核合格证书的，由县级以上地方人民政府住房城乡建设主管部门给予警告，并处1000元以上5000元以下的罚款。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《建筑施工企业主要负责人、项目负责人和专职安全生产管理人员安全生产管理规定》第一条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为了加强房屋建筑和市政基础设施工程施工安全监督管理，提高建筑施工企业主要负责人、项目负责人和专职安全生产管理人员（以下合称“安管人员”）的安全生产管理能力，根据《中华人民共和国安全生产法》、《建设工程安全生产管理条例》等法律法规，制定本规定。</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给予警告，处4千元以上5千元以下的罚款。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1"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68</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未按规定开展“安管人员”安全生产教育培训考核，或者未按规定如实将考核情况记入安全生产教育培训档案的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《建筑施工企业主要负责人、项目负责人和专职安全生产管理人员安全生产管理规定》第二十一条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《建筑施工企业主要负责人、项目负责人和专职安全生产管理人员安全生产管理规定》第二十九条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未按规定开展“安管人员”安全生产教育培训考核，或者未按规定如实将考核情况记入安全生产教育培训档案的，由县级以上地方人民政府住房城乡建设主管部门责令限期改正，并处2万元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15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69</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未按规定设立安全生产管理机构且逾期未改正</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《建筑施工企业主要负责人、项目负责人和专职安全生产管理人员安全生产管理规定》第十四条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《建筑施工企业主要负责人、项目负责人和专职安全生产管理人员安全生产管理规定》第三十条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（一）未按规定设立安全生产管理机构的；</w:t>
            </w:r>
          </w:p>
        </w:tc>
        <w:tc>
          <w:tcPr>
            <w:tcW w:w="1101" w:type="dxa"/>
            <w:gridSpan w:val="3"/>
            <w:tcBorders>
              <w:tl2br w:val="nil"/>
              <w:tr2bl w:val="nil"/>
            </w:tcBorders>
            <w:vAlign w:val="center"/>
          </w:tcPr>
          <w:p>
            <w:pPr>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责令停业整顿，直至改正违法行为；处1万元以上2万元以下的罚款；导致不具备《安全生产许可证条例》规定的安全生产条件的，应当依法暂扣或者吊销安全生产许可证。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1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责令停业整顿，直至改正违法行为；处2万元的罚款；导致不具备《安全生产许可证条例》规定的安全生产条件的，应当依法暂扣或者吊销安全生产许可证。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70</w:t>
            </w:r>
          </w:p>
        </w:tc>
        <w:tc>
          <w:tcPr>
            <w:tcW w:w="1376"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未按规定配备专职安全生产管理人员且逾期未改正的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《建筑施工企业主要负责人、项目负责人和专职安全生产管理人员安全生产管理规定》第十四条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《建筑施工企业主要负责人、项目负责人和专职安全生产管理人员安全生产管理规定》第三十条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（二）未按规定配备专职安全生产管理人员的；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虽配备专职安全生产管理人员，但人数不足。</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尚未配备专职安全生产管理人员。</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责令停业整顿，直至改正违法行；处1万元以上2万元以下的罚款；导致不具备《安全生产许可证条例》规定的安全生产条件的，应当依法暂扣或者吊销安全生产许可证。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因未配备专职安全生产管理人员造成安全事故的。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责令停业整顿；处2万元的罚款；导致不具备《安全生产许可证条例》规定的安全生产条件的，应当依法暂扣或者吊销安全生产许可证。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41"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71</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危险性较大的分部分项工程施工时未安排专职安全生产管理人员现场监督</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《建筑施工企业主要负责人、项目负责人和专职安全生产管理人员安全生产管理规定》第二十条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《建筑施工企业主要负责人、项目负责人和专职安全生产管理人员安全生产管理规定》第三十条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（三）危险性较大的分部分项工程施工时未安排专职安全生产管理人员现场监督的；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虽配备专职安全生产管理人员，但人数不足。</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尚未配备专职安全生产管理人员。</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责令停业整顿，直至改正违法行；处1万元以上2万元以下的罚款；导致不具备《安全生产许可证条例》规定的安全生产条件的，应当依法暂扣或者吊销安全生产许可证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因未按规定配备专职安全生产管理人员造成安全事故的。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责令停业整顿；处2万元的罚款；导致不具备《安全生产许可证条例》规定的安全生产条件的，应当依法暂扣或者吊销安全生产许可证。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4"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72</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“安管人员”未取得安全生产考核合格证书</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《建筑施工企业主要负责人、项目负责人和专职安全生产管理人员安全生产管理规定》第五条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《建筑施工企业主要负责人、项目负责人和专职安全生产管理人员安全生产管理规定》第三十条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（四）“安管人员”未取得安全生产考核合格证书的。</w:t>
            </w:r>
          </w:p>
        </w:tc>
        <w:tc>
          <w:tcPr>
            <w:tcW w:w="1101" w:type="dxa"/>
            <w:gridSpan w:val="3"/>
            <w:tcBorders>
              <w:tl2br w:val="nil"/>
              <w:tr2bl w:val="nil"/>
            </w:tcBorders>
            <w:vAlign w:val="center"/>
          </w:tcPr>
          <w:p>
            <w:pPr>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责令限期改正，逾期未改正，尚未造成生产安全事故的。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责令停业整顿，直至改正违法行为；对生产经营单位处1万元以下的罚款；导致不具备《安全生产许可证条例》规定的安全生产条件的，应当依法暂扣或者吊销安全生产许可证。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54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责令限期改正，逾期未改正，造成一般安全生产事故的。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责令停业整顿，直至改正违法行为；对生产经营单位处1万元以上2万元以下的罚款；导致不具备《安全生产许可证条例》规定的安全生产条件的，应当依法暂扣或者吊销安全生产许可证。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责令限期改正，逾期未改正，造成较大及以上安全生产事故的。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责令停业整顿，直至改正违法行为；对生产经营单位处2万元的罚款；导致不具备《安全生产许可证条例》规定的安全生产条件的，应当依法暂扣或者吊销安全生产许可证。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73</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“安管人员”未按规定办理证书变更</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《建筑施工企业主要负责人、项目负责人和专职安全生产管理人员安全生产管理规定》第十一条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《建筑施工企业主要负责人、项目负责人和专职安全生产管理人员安全生产管理规定》第三十一条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“安管人员”未按规定办理证书变更的，由县级以上地方人民政府住房城乡建设主管部门责令限期改正，并处1000元以上5000元以下的罚款。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2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逾期30日以上未改正的。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责令限期改正，处4千元以上5千元以下的罚款。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6"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74</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主要负责人、项目负责人未按规定履行安全生产管理职责，逾期未改正</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《建筑施工企业主要负责人、项目负责人和专职安全生产管理人员安全生产管理规定》第十四条</w:t>
            </w:r>
          </w:p>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《建筑施工企业主要负责人、项目负责人和专职安全生产管理人员安全生产管理规定》第三十二条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p>
            <w:pPr>
              <w:widowControl/>
              <w:spacing w:line="240" w:lineRule="auto"/>
              <w:ind w:firstLine="431"/>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责令停业整顿，直至改正违法行为；处2万元以上6万元以下的罚款。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责令停业整顿，直至改正违法行为；处6万元以上15万元以下的罚款。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造成生产安全事故或者其他严重后果的，按照《生产安全事故报告和调查处理条例》的有关规定，依法暂扣或者吊销安全生产考核合格证书，处15万元以上20万元以下的罚款；被追究刑事责任的，自刑罚执行完毕或者受处分之日起，5年内不得担任任何施工单位的主要负责人、项目负责人。</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169"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75</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专职安全生产管理人员未按规定履行安全生产管理职责</w:t>
            </w:r>
          </w:p>
        </w:tc>
        <w:tc>
          <w:tcPr>
            <w:tcW w:w="1128" w:type="dxa"/>
            <w:gridSpan w:val="2"/>
            <w:vMerge w:val="restart"/>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《建筑施工企业主要负责人、项目负责人和专职安全生产管理人员安全生产管理规定》第十四条</w:t>
            </w:r>
          </w:p>
        </w:tc>
        <w:tc>
          <w:tcPr>
            <w:tcW w:w="4354" w:type="dxa"/>
            <w:gridSpan w:val="4"/>
            <w:vMerge w:val="restart"/>
            <w:tcBorders>
              <w:tl2br w:val="nil"/>
              <w:tr2bl w:val="nil"/>
            </w:tcBorders>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《建筑施工企业主要负责人、项目负责人和专职安全生产管理人员安全生产管理规定》第三十三条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jc w:val="center"/>
        </w:trPr>
        <w:tc>
          <w:tcPr>
            <w:tcW w:w="533"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419" w:hRule="atLeast"/>
          <w:jc w:val="center"/>
        </w:trPr>
        <w:tc>
          <w:tcPr>
            <w:tcW w:w="533"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责令限期改正，处4千元以上5千元以下罚款；造成生产安全事故或者其他严重后果的，按照《生产安全事故报告和调查处理条例》的有关规定，依法暂扣或者吊销安全生产考核合格证书。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13810" w:type="dxa"/>
            <w:gridSpan w:val="17"/>
            <w:tcBorders>
              <w:tl2br w:val="nil"/>
              <w:tr2bl w:val="nil"/>
            </w:tcBorders>
            <w:vAlign w:val="center"/>
          </w:tcPr>
          <w:p>
            <w:pPr>
              <w:widowControl/>
              <w:spacing w:line="240" w:lineRule="auto"/>
              <w:ind w:firstLine="6113" w:firstLineChars="2900"/>
              <w:jc w:val="left"/>
              <w:rPr>
                <w:rFonts w:ascii="仿宋_GB2312" w:hAnsi="黑体" w:eastAsia="仿宋_GB2312"/>
                <w:b/>
                <w:color w:val="000000" w:themeColor="text1"/>
                <w:kern w:val="0"/>
                <w:szCs w:val="21"/>
                <w14:textFill>
                  <w14:solidFill>
                    <w14:schemeClr w14:val="tx1"/>
                  </w14:solidFill>
                </w14:textFill>
              </w:rPr>
            </w:pPr>
            <w:r>
              <w:rPr>
                <w:rFonts w:hint="eastAsia" w:ascii="仿宋_GB2312" w:hAnsi="黑体" w:eastAsia="仿宋_GB2312"/>
                <w:b/>
                <w:color w:val="000000" w:themeColor="text1"/>
                <w:kern w:val="0"/>
                <w:szCs w:val="21"/>
                <w14:textFill>
                  <w14:solidFill>
                    <w14:schemeClr w14:val="tx1"/>
                  </w14:solidFill>
                </w14:textFill>
              </w:rPr>
              <w:t>工程质量安全监管类（128项）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76</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建设单位将建设工程发包给不具有相应资质等级的勘察、设计、施工单位或者委托给不具有相应资质等级的工程监理单位</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《中华人民共和国建筑法》第六十五条；</w:t>
            </w:r>
          </w:p>
          <w:p>
            <w:pPr>
              <w:widowControl/>
              <w:spacing w:line="240" w:lineRule="auto"/>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《建设工程质量管理条例》第七条第一款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《建设工程质量管理条例》第五十四条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违反本条例规定，建设单位将建设工程发包给不具有相应资质等级的勘察、设计、施工单位或者委托给不具有相应资质等级的工程监理单位的，责令改正，处50万元以上100万元以下的罚款。</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责令改正，对建设单位处50万元以上60万元以下的罚款，对单位直接负责的主管人员和其他直接责任人员处单位罚款数额百分之五以上百分之六以下的罚款。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宋体" w:hAnsi="宋体" w:cs="Arial"/>
                <w:color w:val="000000" w:themeColor="text1"/>
                <w:spacing w:val="8"/>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责令改正，对建设单位处60万元以上80万元以下的罚款，对单位直接负责的主管人员和其他直接责任人员处单位罚款数额百分之六以上百分之八点五以下的罚款。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宋体" w:hAnsi="宋体" w:cs="Arial"/>
                <w:color w:val="000000" w:themeColor="text1"/>
                <w:spacing w:val="8"/>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责令改正，对建设单位处80万元以上100万元以下的罚款，对单位直接负责的主管人员和其他直接责任人员处单位罚款数额百分之八点五上百分之十以下的罚款。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77</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建设单位将建设工程肢解发包</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《建设工程质量管理条例》第七条第二款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《建设工程质量管理条例》第五十五条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违反本条例规定，建设单位将建设工程肢解发包的，责令改正，处工程合同价款百分之零点五以上百分之一以下的罚款；对全部或者部分使用国有资金的项目，并可以暂停项目执行或者暂停资金拨付。</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责令改正，对建设单位处工程合同价款百分之零点五以上百分之零点六以下的罚款，对单位直接负责的主管人员和其他直接责任人员处单位罚款数额百分之五以上百分之六以下的罚款。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责令改正，对建设单位处工程合同价款百分之零点六以上百分之零点八以下的罚款，对单位直接负责的主管人员和其他直接责任人员处单位罚款数额百分之六以上百分之八点五以下的罚款。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责令改正，对建设单位处工程合同价款百分之零点八以上百分之零点一以下的罚款，对单位直接负责的主管人员和其他直接责任人员处单位罚款数额百分之八点五以上百分之十以下的罚款。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78</w:t>
            </w:r>
          </w:p>
        </w:tc>
        <w:tc>
          <w:tcPr>
            <w:tcW w:w="1376"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建设单位迫使承包方以低于成本的价格竞标</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《建设工程质量管理条例》第十条第一款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《建设工程质量管理条例》第五十六条第（一）项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（一）迫使承包方以低于成本的价格竞标的；</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迫使承包方以低于成本的价格竞标的幅度在10﹪以内的。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责令改正，对建设单位处20万元以上25万元以下的罚款，对单位直接负责的主管人员和其他直接责任人员处单位罚款数额百分之五以上百分之六以下的罚款。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迫使承包方以低于成本的价格竞标的幅度在10﹪以上20﹪以下的。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责令改正，对建设单位处25万元以上40万元以下的罚款，对单位直接负责的主管人员和其他直接责任人员处单位罚款数额百分之六以上百分之八点五以下的罚款。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迫使承包方以低于成本的价格竞标的幅度在20%以上的。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79</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建设单位任意压缩合理工期</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《建设工程质量管理条例》第十条第一款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《建设工程质量管理条例》第五十六条第（二）项</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（二）任意压缩合理工期的；</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任意压缩合同约定工期的幅度在10%以下的。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责令改正，对建设单位处20万元以上25万元以下的罚款，对单位直接负责的主管人员和其他直接责任人员处单位罚款数额百分之五以上百分之六以下的罚款。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任意压缩合同约定工期的幅度在10%以上20%以下的。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责令改正，对建设单位处25万元以上40万元以下的罚款，对单位直接负责的主管人员和其他直接责任人员处单位罚款数额百分之六以上百分之八点五以下的罚款。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任意压缩合同约定工期的幅度在20%以上的。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80</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建设单位明示或者暗示设计单位或者施工单位违反工程建设强制性标准，降低工程质量</w:t>
            </w:r>
          </w:p>
        </w:tc>
        <w:tc>
          <w:tcPr>
            <w:tcW w:w="1128" w:type="dxa"/>
            <w:gridSpan w:val="2"/>
            <w:vMerge w:val="restart"/>
            <w:tcBorders>
              <w:tl2br w:val="nil"/>
              <w:tr2bl w:val="nil"/>
            </w:tcBorders>
            <w:vAlign w:val="center"/>
          </w:tcPr>
          <w:p>
            <w:pPr>
              <w:widowControl/>
              <w:spacing w:line="240" w:lineRule="auto"/>
              <w:jc w:val="left"/>
              <w:rPr>
                <w:rFonts w:ascii="宋体" w:hAnsi="宋体" w:cs="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《建设工程质量管理条例》第十条第二款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《建设工程质量管理条例》第五十六条第（三）项</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（三）明示或者暗示设计单位或者施工单位违反工程建设强制性标准，降低工程质量的；</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widowControl/>
              <w:spacing w:line="240" w:lineRule="auto"/>
              <w:ind w:firstLine="210" w:firstLineChars="100"/>
              <w:jc w:val="left"/>
              <w:rPr>
                <w:rFonts w:ascii="宋体" w:hAnsi="宋体" w:cs="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未涉及结构安全及重要使用功能的。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责令改正，对建设单位处20万元以上25万元以下的罚款，对单位直接负责的主管人员和其他直接责任人员处单位罚款数额百分之五以上百分之六以下的罚款。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涉及结构安全及重要使用功能的。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责令改正，对建设单位处25万元以上40万元以下的罚款，对单位直接负责的主管人员和其他直接责任人员处单位罚款数额百分之六以上百分之八点五以下的罚款。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涉及结构安全及重要使用功能造成严重缺陷，且经返修和加固处理仍不能满足安全使用要求；或造成质量、安全事故的。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81</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建设单位施工图设计文件未经审查或者审查不合格，擅自施工</w:t>
            </w:r>
          </w:p>
        </w:tc>
        <w:tc>
          <w:tcPr>
            <w:tcW w:w="1128" w:type="dxa"/>
            <w:gridSpan w:val="2"/>
            <w:vMerge w:val="restart"/>
            <w:tcBorders>
              <w:tl2br w:val="nil"/>
              <w:tr2bl w:val="nil"/>
            </w:tcBorders>
            <w:vAlign w:val="center"/>
          </w:tcPr>
          <w:p>
            <w:pPr>
              <w:widowControl/>
              <w:spacing w:line="240" w:lineRule="auto"/>
              <w:jc w:val="left"/>
              <w:rPr>
                <w:rFonts w:ascii="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《建设工程质量管理条例》第十一条第二款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《建设工程质量管理条例》第五十六条第（四）项</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（四）施工图设计文件未经审查或者审查不合格，擅自施工的；</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widowControl/>
              <w:spacing w:line="240" w:lineRule="auto"/>
              <w:ind w:firstLine="210" w:firstLineChars="100"/>
              <w:jc w:val="left"/>
              <w:rPr>
                <w:rFonts w:ascii="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未涉及结构安全及重要使用功能的。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责令改正，对建设单位处20万元以上25万元以下的罚款，对单位直接负责的主管人员和其他直接责任人员处单位罚款数额百分之五以上百分之六以下的罚款。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涉及结构安全及重要使用功能的。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责令改正，对建设单位处25万元以上40万元以下的罚款，对单位直接负责的主管人员和其他直接责任人员处单位罚款数额百分之六以上百分之八点五以下的罚款。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涉及结构安全及重要使用功能造成严重缺陷，且经返修和加固处理仍不能满足安全使用要求；或造成质量、安全事故的。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82</w:t>
            </w:r>
          </w:p>
        </w:tc>
        <w:tc>
          <w:tcPr>
            <w:tcW w:w="1376"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建设单位建设项目必须实行工程监理而未实行工程监理</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《建设工程质量管理条例》第十二条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《建设工程质量管理条例》第五十六条第（五）项</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（五）建设项目必须实行工程监理而未实行工程监理的；</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widowControl/>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责令改正，对建设单位处20万元的罚款，对单位直接负责的主管人员和其他直接责任人员处单位罚款数额百分之五的罚款。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责令改正，对建设单位处20万元以上40万元以下的罚款，对单位直接负责的主管人员和其他直接责任人员处单位罚款数额百分之五以上百分之八点五以下的罚款。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83</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建设单位未按照国家规定办理工程质量监督手续</w:t>
            </w:r>
          </w:p>
        </w:tc>
        <w:tc>
          <w:tcPr>
            <w:tcW w:w="1128" w:type="dxa"/>
            <w:gridSpan w:val="2"/>
            <w:vMerge w:val="restart"/>
            <w:tcBorders>
              <w:tl2br w:val="nil"/>
              <w:tr2bl w:val="nil"/>
            </w:tcBorders>
            <w:vAlign w:val="center"/>
          </w:tcPr>
          <w:p>
            <w:pPr>
              <w:widowControl/>
              <w:spacing w:line="240" w:lineRule="auto"/>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《建设工程质量管理条例》第十三条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《建设工程质量管理条例》第五十六条第（六）项</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（六）未按照国家规定办理工程质量监督手续的；</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widowControl/>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责令改正，对建设单位处20万元以上25万元以下的罚款，对单位直接负责的主管人员和其他直接责任人员处单位罚款数额百分之五以上百分之六以下的罚款。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责令改正，对建设单位处25万元以上40万元以下的罚款，对单位直接负责的主管人员和其他直接责任人员处单位罚款数额百分之六以上百分之八点五以下的罚款。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84</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建设单位明示或者暗示施工单位使用不合格的建筑材料、建筑构配件和设备</w:t>
            </w:r>
          </w:p>
        </w:tc>
        <w:tc>
          <w:tcPr>
            <w:tcW w:w="1128" w:type="dxa"/>
            <w:gridSpan w:val="2"/>
            <w:vMerge w:val="restart"/>
            <w:tcBorders>
              <w:tl2br w:val="nil"/>
              <w:tr2bl w:val="nil"/>
            </w:tcBorders>
            <w:vAlign w:val="center"/>
          </w:tcPr>
          <w:p>
            <w:pPr>
              <w:widowControl/>
              <w:spacing w:line="240" w:lineRule="auto"/>
              <w:jc w:val="left"/>
              <w:rPr>
                <w:rFonts w:ascii="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《建设工程质量管理条例》第十四条第二款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《建设工程质量管理条例》第五十六条第（七）项</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（七）明示或者暗示施工单位使用不合格的建筑材料、建筑构配件和设备的；</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widowControl/>
              <w:spacing w:line="240" w:lineRule="auto"/>
              <w:ind w:firstLine="210" w:firstLineChars="100"/>
              <w:jc w:val="left"/>
              <w:rPr>
                <w:rFonts w:ascii="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未涉及结构安全及重要使用功能的。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责令改正，对建设单位处20万元以上25万元以下的罚款，对单位直接负责的主管人员和其他直接责任人员处单位罚款数额百分之五以上百分之六以下的罚款。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涉及结构安全及重要使用功能的。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责令改正，对建设单位处25万元以上40万元以下的罚款，对单位直接负责的主管人员和其他直接责任人员处单位罚款数额百分之六以上百分之八点五以下的罚款。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涉及结构安全及重要使用功能造成严重缺陷，且经返修和加固处理仍不能满足安全使用要求；或造成质量、安全事故的。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85</w:t>
            </w:r>
          </w:p>
        </w:tc>
        <w:tc>
          <w:tcPr>
            <w:tcW w:w="1376"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建设单位未按照国家规定将竣工验收报告、有关认可文件或者准许使用文件报送备案</w:t>
            </w:r>
          </w:p>
        </w:tc>
        <w:tc>
          <w:tcPr>
            <w:tcW w:w="1128"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《建设工程质量管理条例》第十七条</w:t>
            </w:r>
          </w:p>
        </w:tc>
        <w:tc>
          <w:tcPr>
            <w:tcW w:w="4354"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《建设工程质量管理条例》第五十六条第（八）项</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（八）未按照国家规定将竣工验收报告、有关认可文件或者准许使用文件报送备案的。</w:t>
            </w: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widowControl/>
              <w:spacing w:line="240" w:lineRule="auto"/>
              <w:ind w:firstLine="210" w:firstLineChars="100"/>
              <w:jc w:val="left"/>
              <w:textAlignment w:val="center"/>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责令改正，对建设单位处20万元的罚款，对单位直接负责的主管人员和其他直接责任人员处单位罚款数额百分之五的罚款。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责令改正，对建设单位处20万元以上40万元以下的罚款，对单位直接负责的主管人员和其他直接责任人员处单位罚款数额百分之五以上百分之八点五以下的罚款。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86</w:t>
            </w:r>
          </w:p>
        </w:tc>
        <w:tc>
          <w:tcPr>
            <w:tcW w:w="1376"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建设单位未取得施工许可证或者开工报告未经批准，擅自施工</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《建设工程质量管理条例》第十三条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《建设工程质量管理条例》第五十七条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违反本条例规定，建设单位未取得施工许可证或者开工报告未经批准，擅自施工的，责令停止施工，限期改正，处工程合同价款百分之一以上百分之二以下的罚款。</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责令停止施工，限期改正，对建设单位处工程合同价款百分之一以上百分之一点二以下的罚款，对单位直接负责的主管人员和其他直接责任人员处单位罚款数额百分之五以上百分之六以下的罚款。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责令停止施工，限期改正，对建设单位处工程合同价款百分之一点二以上百分之一点七以下的罚款，对单位直接负责的主管人员和其他直接责任人员处单位罚款数额百分之六以上百分之八点五以下的罚款。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工程项目不符合发放施工许可或开工报告条件，无法补办施工许可证或开工报告的；其他情节恶劣，或造成严重后果的违法行为。</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责令停止施工，限期改正，对建设单位处工程合同价款百分之一点七以上百分之二以下的罚款，对单位直接负责的主管人员和其他直接责任人员处单位罚款数额百分之八点五以上百分之十以下的罚款。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87</w:t>
            </w:r>
          </w:p>
        </w:tc>
        <w:tc>
          <w:tcPr>
            <w:tcW w:w="1376" w:type="dxa"/>
            <w:gridSpan w:val="2"/>
            <w:vMerge w:val="restart"/>
            <w:tcBorders>
              <w:tl2br w:val="nil"/>
              <w:tr2bl w:val="nil"/>
            </w:tcBorders>
            <w:vAlign w:val="center"/>
          </w:tcPr>
          <w:p>
            <w:pPr>
              <w:widowControl/>
              <w:wordWrap w:val="0"/>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wordWrap w:val="0"/>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建设单位有下列行为之一的：</w:t>
            </w:r>
          </w:p>
          <w:p>
            <w:pPr>
              <w:widowControl/>
              <w:wordWrap w:val="0"/>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（一）未组织竣工验收，擅自交付使用的</w:t>
            </w:r>
          </w:p>
          <w:p>
            <w:pPr>
              <w:widowControl/>
              <w:wordWrap w:val="0"/>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（二）验收不合格，擅自交付使用的</w:t>
            </w:r>
          </w:p>
          <w:p>
            <w:pPr>
              <w:widowControl/>
              <w:wordWrap w:val="0"/>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（三）对不合格的建设工程按照合格工程验收的</w:t>
            </w:r>
          </w:p>
          <w:p>
            <w:pPr>
              <w:widowControl/>
              <w:wordWrap w:val="0"/>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宋体" w:hAnsi="宋体" w:cs="宋体"/>
                <w:color w:val="000000" w:themeColor="text1"/>
                <w:kern w:val="0"/>
                <w:szCs w:val="21"/>
                <w14:textFill>
                  <w14:solidFill>
                    <w14:schemeClr w14:val="tx1"/>
                  </w14:solidFill>
                </w14:textFill>
              </w:rPr>
            </w:pPr>
          </w:p>
        </w:tc>
        <w:tc>
          <w:tcPr>
            <w:tcW w:w="1128" w:type="dxa"/>
            <w:gridSpan w:val="2"/>
            <w:vMerge w:val="restart"/>
            <w:tcBorders>
              <w:tl2br w:val="nil"/>
              <w:tr2bl w:val="nil"/>
            </w:tcBorders>
            <w:vAlign w:val="center"/>
          </w:tcPr>
          <w:p>
            <w:pPr>
              <w:widowControl/>
              <w:wordWrap w:val="0"/>
              <w:spacing w:line="240" w:lineRule="auto"/>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《建设工程质量管理条例》第十六条</w:t>
            </w:r>
          </w:p>
        </w:tc>
        <w:tc>
          <w:tcPr>
            <w:tcW w:w="4354" w:type="dxa"/>
            <w:gridSpan w:val="4"/>
            <w:vMerge w:val="restart"/>
            <w:tcBorders>
              <w:tl2br w:val="nil"/>
              <w:tr2bl w:val="nil"/>
            </w:tcBorders>
            <w:vAlign w:val="center"/>
          </w:tcPr>
          <w:p>
            <w:pPr>
              <w:widowControl/>
              <w:spacing w:line="240" w:lineRule="auto"/>
              <w:ind w:left="105" w:hanging="105" w:hanging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《建设工程质量管理条例》第五十八条</w:t>
            </w:r>
          </w:p>
          <w:p>
            <w:pPr>
              <w:widowControl/>
              <w:spacing w:line="240" w:lineRule="auto"/>
              <w:ind w:left="105" w:hanging="105" w:hanging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违反本条例规定，建设单位有下列行为之一的，责令改正，处工程合同价款百分之二以上百分之四以下的罚款；造成损失的，依法承担赔偿责任：</w:t>
            </w:r>
          </w:p>
          <w:p>
            <w:pPr>
              <w:widowControl/>
              <w:wordWrap w:val="0"/>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（一）未组织竣工验收，擅自交付使用的；</w:t>
            </w:r>
          </w:p>
          <w:p>
            <w:pPr>
              <w:widowControl/>
              <w:wordWrap w:val="0"/>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（二）验收不合格，擅自交付使用的；</w:t>
            </w:r>
          </w:p>
          <w:p>
            <w:pPr>
              <w:widowControl/>
              <w:wordWrap w:val="0"/>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（三）对不合格的建设工程按照合格工程验收的。</w:t>
            </w:r>
          </w:p>
          <w:p>
            <w:pPr>
              <w:widowControl/>
              <w:wordWrap w:val="0"/>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widowControl/>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责令改正，对建设单位处工程合同价款百分之二以上百分之二点五以下的罚款，对单位直接负责的主管人员和其他直接责任人员处单位罚款数额百分之五以上百分之六以下的罚款。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实施违法行为，造成不良社会影响或初次违法，未主动消除或减轻违法行为危害后果的。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责令改正，对建设单位处工程合同价款百分之二点五以上百分之三点五以下的罚款，对单位直接负责的主管人员和其他直接责任人员处单位罚款数额百分之六以上百分之八点五以下的罚款。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（1）经责令停止违法行为后，继续实施违法行为的；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（2）2年内2次及以上同类型违法；</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（3）足以影响建设工程市场秩序和社会稳定的；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（4）法律法规规定的其他应当从重处罚的情形。</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责令改正，对建设单位处工程合同价款百分之三点五以上百分之四以下的罚款，对单位直接负责的主管人员和其他直接责任人员处单位罚款数额百分之八点五以上百分之十以下的罚款。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88</w:t>
            </w:r>
          </w:p>
        </w:tc>
        <w:tc>
          <w:tcPr>
            <w:tcW w:w="1376"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建设工程竣工验收后，建设单位未向建设行政主管部门或者其他有关部门移交建设项目档案</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《建设工程质量管理条例》第十七条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《建设工程质量管理条例》第五十九条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违反本条例规定，建设工程竣工验收后，建设单位未向建设行政主管部门或者其他有关部门移交建设项目档案的，责令改正，处1万元以上10万元以下的罚款。</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逾期15日以下改正的。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责令改正，对建设单位处1万元以上3万元以下的罚款，对单位直接负责的主管人员和其他直接责任人员处单位罚款数额百分之五以上百分之六以下的罚款。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逾期15日以上30日以下改正的。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责令改正，对建设单位处3万元以上7万元以下的罚款，对单位直接负责的主管人员和其他直接责任人员处单位罚款数额百分之六以上百分之八点五以下的罚款。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逾期30日以上未改正的。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责令改正，对建设单位处7万元以上10万元以下的罚款，对单位直接负责的主管人员和其他直接责任人员处单位罚款数额百分之八点五以上百分之十以下的罚款。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7"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89</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勘察、设计、施工、工程监理单位超越本单位资质等级承揽工程</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《建设工程质量管理条例》第十八条第二款/</w:t>
            </w:r>
            <w:r>
              <w:rPr>
                <w:rFonts w:ascii="仿宋_GB2312" w:hAnsi="宋体" w:eastAsia="仿宋_GB2312"/>
                <w:color w:val="000000" w:themeColor="text1"/>
                <w:kern w:val="0"/>
                <w:szCs w:val="21"/>
                <w14:textFill>
                  <w14:solidFill>
                    <w14:schemeClr w14:val="tx1"/>
                  </w14:solidFill>
                </w14:textFill>
              </w:rPr>
              <w:t>第二十五条第二款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第三十四条第二款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《建设工程质量管理条例》第六十条第一款</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违法行为，对勘察、设计单位或者工程监理单位处合同约定的勘察费、设计费或监理酬金1倍以上1.2倍以下的罚款；对施工单位处工程合同价款百分之二以上百分之二点二以下的罚款；对单位直接负责主管人员和其他直接责任人员处单位罚款数额百分之五以上百分之六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1.2倍以上1.7倍以下的罚款；对施工单位处工程合同价款百分之二点二以上百分之三点五以下的罚款；对单位直接负责主管人员和其他直接责任人员处单位罚款数额百分之六以上百分之八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（1）2年内2次同类型违法的。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302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w:t>
            </w:r>
            <w:r>
              <w:rPr>
                <w:rFonts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r>
              <w:rPr>
                <w:rFonts w:hint="eastAsia" w:ascii="仿宋_GB2312" w:hAnsi="宋体" w:eastAsia="仿宋_GB2312"/>
                <w:color w:val="000000" w:themeColor="text1"/>
                <w:kern w:val="0"/>
                <w:szCs w:val="21"/>
                <w14:textFill>
                  <w14:solidFill>
                    <w14:schemeClr w14:val="tx1"/>
                  </w14:solidFill>
                </w14:textFill>
              </w:rPr>
              <w:t>。</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30-60日；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（3）造成3人以上5人以下死亡，或者10人以上20人以下重伤，或者1000万元以上2000万元以下直接经济损失的。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者监理酬金2倍的罚款；对施工单位处工程合同价款百分之四的罚款；对单位直接负责主管人员和其他直接责任人员处单位罚款数额百分之十的罚款；责令停业整顿60—90日；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28"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（4）造成5人以上7人以下死亡，或者20人以上30人以下重伤，或者2000万元以上3000万元以下直接经济损失的。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者监理酬金2倍的罚款；对施工单位处工程合同价款百分之四的罚款；对单位直接负责主管人员和其他直接责任人员处单位罚款数额百分之十的罚款；责令停业整顿90—120日；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者监理酬金2倍的罚款；对施工单位处工程合同价款百分之四的罚款；对单位直接负责主管人员和其他直接责任人员处单位罚款数额百分之十的罚款；责令停业整顿120—180日；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（6）造成重大质量安全事故；或造成分部工程存在严重缺陷，经返修和加固处理仍不能满足安全使用要求。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者监理酬金2倍的罚款；对施工单位处工程合同价款百分之四的罚款；对单位直接负责主管人员和其他直接责任人员处单位罚款数额百分之十的罚款；降低资质等级；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（7）造成特别重大质量安全事故；或造成单位（子单位）工程存在严重缺陷，经返修和加固处理仍不能满足安全使用要求。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者监理酬金2倍的罚款；对施工单位处工程合同价款百分之四的罚款；对单位直接负责主管人员和其他直接责任人员处单位罚款数额百分之十的罚款；吊销资质证书；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90</w:t>
            </w:r>
          </w:p>
        </w:tc>
        <w:tc>
          <w:tcPr>
            <w:tcW w:w="1376" w:type="dxa"/>
            <w:gridSpan w:val="2"/>
            <w:vMerge w:val="restart"/>
            <w:tcBorders>
              <w:tl2br w:val="nil"/>
              <w:tr2bl w:val="nil"/>
            </w:tcBorders>
            <w:vAlign w:val="center"/>
          </w:tcPr>
          <w:p>
            <w:pPr>
              <w:widowControl/>
              <w:spacing w:line="240" w:lineRule="auto"/>
              <w:ind w:firstLine="226" w:firstLineChars="100"/>
              <w:jc w:val="left"/>
              <w:rPr>
                <w:rFonts w:ascii="宋体" w:hAnsi="宋体" w:cs="Arial"/>
                <w:color w:val="000000" w:themeColor="text1"/>
                <w:spacing w:val="8"/>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未取得资质证书承揽工程</w:t>
            </w:r>
          </w:p>
        </w:tc>
        <w:tc>
          <w:tcPr>
            <w:tcW w:w="1128" w:type="dxa"/>
            <w:gridSpan w:val="2"/>
            <w:vMerge w:val="restart"/>
            <w:tcBorders>
              <w:tl2br w:val="nil"/>
              <w:tr2bl w:val="nil"/>
            </w:tcBorders>
            <w:vAlign w:val="center"/>
          </w:tcPr>
          <w:p>
            <w:pPr>
              <w:widowControl/>
              <w:spacing w:line="240" w:lineRule="auto"/>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《建设工程质量管理条例》第十八条第一款/</w:t>
            </w:r>
            <w:r>
              <w:rPr>
                <w:rFonts w:ascii="仿宋_GB2312" w:hAnsi="宋体" w:eastAsia="仿宋_GB2312"/>
                <w:color w:val="000000" w:themeColor="text1"/>
                <w:kern w:val="0"/>
                <w:szCs w:val="21"/>
                <w14:textFill>
                  <w14:solidFill>
                    <w14:schemeClr w14:val="tx1"/>
                  </w14:solidFill>
                </w14:textFill>
              </w:rPr>
              <w:t>第二十五条第一款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第三十四条第一款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《建设工程质量管理条例》第六十条</w:t>
            </w:r>
            <w:r>
              <w:rPr>
                <w:rFonts w:ascii="仿宋_GB2312" w:hAnsi="宋体" w:eastAsia="仿宋_GB2312"/>
                <w:color w:val="000000" w:themeColor="text1"/>
                <w:kern w:val="0"/>
                <w:szCs w:val="21"/>
                <w14:textFill>
                  <w14:solidFill>
                    <w14:schemeClr w14:val="tx1"/>
                  </w14:solidFill>
                </w14:textFill>
              </w:rPr>
              <w:t>第一款</w:t>
            </w:r>
            <w:r>
              <w:rPr>
                <w:rFonts w:hint="eastAsia" w:ascii="仿宋_GB2312" w:hAnsi="宋体" w:eastAsia="仿宋_GB2312"/>
                <w:color w:val="000000" w:themeColor="text1"/>
                <w:kern w:val="0"/>
                <w:szCs w:val="21"/>
                <w14:textFill>
                  <w14:solidFill>
                    <w14:schemeClr w14:val="tx1"/>
                  </w14:solidFill>
                </w14:textFill>
              </w:rPr>
              <w:t>/第二款</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未取得资质证书承揽工程的，予以取缔，依照前款规定处以罚款；有违法所得的，予以没收。</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widowControl/>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倍以上1.2倍以下的罚款；对施工单位处工程合同价款百分之二以上百分之二点二以下的罚款；对单位直接负责主管人员和其他直接责任人员处单位罚款数额百分之五以上百分之六以下的罚款；未取得资质证书承揽工程的，予以取缔；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2倍以上1.7倍以下的罚款；对施工单位处工程合同价款百分之二点二以上百分之三点五以下的罚款；对单位直接负责主管人员和其他直接责任人员处单位罚款数额百分之六以上百分之八点五以下的罚款；未取得资质证书承揽工程的，予以取缔；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（1）造成一般质量、安全事故的。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可以责令停业整顿，降低资质等级；未取得资质证书承揽工程的，予以取缔；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01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（2）3年内2次以上同类型违法；造成较大以上质量、安全事故的。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2倍的罚款；对施工单位处工程合同价款百分之四的罚款；对单位直接负责主管人员和其他直接责任人员处单位罚款数额百分之十的罚款；吊销资质证书；未取得资质证书承揽工程的，予以取缔；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91</w:t>
            </w:r>
          </w:p>
        </w:tc>
        <w:tc>
          <w:tcPr>
            <w:tcW w:w="1376" w:type="dxa"/>
            <w:gridSpan w:val="2"/>
            <w:vMerge w:val="restart"/>
            <w:tcBorders>
              <w:tl2br w:val="nil"/>
              <w:tr2bl w:val="nil"/>
            </w:tcBorders>
            <w:vAlign w:val="center"/>
          </w:tcPr>
          <w:p>
            <w:pPr>
              <w:widowControl/>
              <w:spacing w:line="240" w:lineRule="auto"/>
              <w:jc w:val="left"/>
              <w:rPr>
                <w:rFonts w:ascii="宋体" w:hAnsi="宋体" w:cs="Arial"/>
                <w:color w:val="000000" w:themeColor="text1"/>
                <w:spacing w:val="8"/>
                <w:kern w:val="0"/>
                <w:szCs w:val="21"/>
                <w14:textFill>
                  <w14:solidFill>
                    <w14:schemeClr w14:val="tx1"/>
                  </w14:solidFill>
                </w14:textFill>
              </w:rPr>
            </w:pPr>
          </w:p>
          <w:p>
            <w:pPr>
              <w:widowControl/>
              <w:spacing w:line="240" w:lineRule="auto"/>
              <w:jc w:val="left"/>
              <w:rPr>
                <w:rFonts w:ascii="宋体" w:hAnsi="宋体" w:cs="Arial"/>
                <w:color w:val="000000" w:themeColor="text1"/>
                <w:spacing w:val="8"/>
                <w:kern w:val="0"/>
                <w:szCs w:val="21"/>
                <w14:textFill>
                  <w14:solidFill>
                    <w14:schemeClr w14:val="tx1"/>
                  </w14:solidFill>
                </w14:textFill>
              </w:rPr>
            </w:pPr>
          </w:p>
          <w:p>
            <w:pPr>
              <w:widowControl/>
              <w:spacing w:line="240" w:lineRule="auto"/>
              <w:jc w:val="left"/>
              <w:rPr>
                <w:rFonts w:ascii="宋体" w:hAnsi="宋体" w:cs="Arial"/>
                <w:color w:val="000000" w:themeColor="text1"/>
                <w:spacing w:val="8"/>
                <w:kern w:val="0"/>
                <w:szCs w:val="21"/>
                <w14:textFill>
                  <w14:solidFill>
                    <w14:schemeClr w14:val="tx1"/>
                  </w14:solidFill>
                </w14:textFill>
              </w:rPr>
            </w:pPr>
          </w:p>
          <w:p>
            <w:pPr>
              <w:widowControl/>
              <w:spacing w:line="240" w:lineRule="auto"/>
              <w:jc w:val="left"/>
              <w:rPr>
                <w:rFonts w:ascii="宋体" w:hAnsi="宋体" w:cs="Arial"/>
                <w:color w:val="000000" w:themeColor="text1"/>
                <w:spacing w:val="8"/>
                <w:kern w:val="0"/>
                <w:szCs w:val="21"/>
                <w14:textFill>
                  <w14:solidFill>
                    <w14:schemeClr w14:val="tx1"/>
                  </w14:solidFill>
                </w14:textFill>
              </w:rPr>
            </w:pPr>
          </w:p>
          <w:p>
            <w:pPr>
              <w:widowControl/>
              <w:spacing w:line="240" w:lineRule="auto"/>
              <w:jc w:val="left"/>
              <w:rPr>
                <w:rFonts w:ascii="宋体" w:hAnsi="宋体" w:cs="Arial"/>
                <w:color w:val="000000" w:themeColor="text1"/>
                <w:spacing w:val="8"/>
                <w:kern w:val="0"/>
                <w:szCs w:val="21"/>
                <w14:textFill>
                  <w14:solidFill>
                    <w14:schemeClr w14:val="tx1"/>
                  </w14:solidFill>
                </w14:textFill>
              </w:rPr>
            </w:pPr>
          </w:p>
          <w:p>
            <w:pPr>
              <w:widowControl/>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以欺骗手段取得资质证书承揽工程</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《建设工程质量管理条例》第十八条第一款/</w:t>
            </w:r>
            <w:r>
              <w:rPr>
                <w:rFonts w:ascii="仿宋_GB2312" w:hAnsi="宋体" w:eastAsia="仿宋_GB2312"/>
                <w:color w:val="000000" w:themeColor="text1"/>
                <w:kern w:val="0"/>
                <w:szCs w:val="21"/>
                <w14:textFill>
                  <w14:solidFill>
                    <w14:schemeClr w14:val="tx1"/>
                  </w14:solidFill>
                </w14:textFill>
              </w:rPr>
              <w:t>第二十五条第一款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第三十四条第一款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《建设工程质量管理条例》第六十条</w:t>
            </w:r>
            <w:r>
              <w:rPr>
                <w:rFonts w:ascii="仿宋_GB2312" w:hAnsi="宋体" w:eastAsia="仿宋_GB2312"/>
                <w:color w:val="000000" w:themeColor="text1"/>
                <w:kern w:val="0"/>
                <w:szCs w:val="21"/>
                <w14:textFill>
                  <w14:solidFill>
                    <w14:schemeClr w14:val="tx1"/>
                  </w14:solidFill>
                </w14:textFill>
              </w:rPr>
              <w:t>第一款</w:t>
            </w:r>
            <w:r>
              <w:rPr>
                <w:rFonts w:hint="eastAsia" w:ascii="仿宋_GB2312" w:hAnsi="宋体" w:eastAsia="仿宋_GB2312"/>
                <w:color w:val="000000" w:themeColor="text1"/>
                <w:kern w:val="0"/>
                <w:szCs w:val="21"/>
                <w14:textFill>
                  <w14:solidFill>
                    <w14:schemeClr w14:val="tx1"/>
                  </w14:solidFill>
                </w14:textFill>
              </w:rPr>
              <w:t>/第三款</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以欺骗手段取得资质证书承揽工程的，吊销资质证书，依照本条第一款规定处以罚款；有违法所得的，予以没收。</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吊销资质证书；对勘察、设计单位或者工程监理单位处合同约定的勘察费、设计费或监理酬金</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倍以上1.2倍以下的罚款；对施工单位处工程合同价款百分之二以上百分之二点二以下的罚款；对单位直接负责主管人员和其他直接责任人员处单位罚款数额百分之五以上百分之六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吊销资质证书；对勘察、设计单位或者工程监理单位处合同约定的勘察费、设计费或监理酬金</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2倍以上1.7倍以下的罚款；对施工单位处工程合同价款百分之二点二以上百分之三点五以下的罚款；对单位直接负责主管人员和其他直接责任人员处单位罚款数额百分之六以上百分之八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（1）造成一般质量、安全事故的。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资质证书；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（2）造成较大以上质量、安全事故的。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资质证书；对勘察、设计单位或者工程监理单位处合同约定的勘察费、设计费或监理酬金2倍的罚款；对施工单位处工程合同价款百分之四的罚款；对单位直接负责主管人员和其他直接责任人员处单位罚款数额百分之十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92</w:t>
            </w:r>
          </w:p>
        </w:tc>
        <w:tc>
          <w:tcPr>
            <w:tcW w:w="1376"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勘察、设计、施工、工程监理单位允许其他单位或者个人以本单位名义承揽工程</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《建设工程质量管理条例》第十八条第二款/</w:t>
            </w:r>
            <w:r>
              <w:rPr>
                <w:rFonts w:ascii="仿宋_GB2312" w:hAnsi="宋体" w:eastAsia="仿宋_GB2312"/>
                <w:color w:val="000000" w:themeColor="text1"/>
                <w:kern w:val="0"/>
                <w:szCs w:val="21"/>
                <w14:textFill>
                  <w14:solidFill>
                    <w14:schemeClr w14:val="tx1"/>
                  </w14:solidFill>
                </w14:textFill>
              </w:rPr>
              <w:t>第二十五条第二款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第三十四条第二款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《建设工程质量管理条例》第六十一条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违反本条例规定</w:t>
            </w:r>
            <w:r>
              <w:rPr>
                <w:rFonts w:hint="eastAsia" w:ascii="仿宋_GB2312" w:hAnsi="宋体" w:eastAsia="仿宋_GB2312"/>
                <w:color w:val="000000" w:themeColor="text1"/>
                <w:kern w:val="0"/>
                <w:szCs w:val="21"/>
                <w14:textFill>
                  <w14:solidFill>
                    <w14:schemeClr w14:val="tx1"/>
                  </w14:solidFill>
                </w14:textFill>
              </w:rPr>
              <w:t>，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1倍以上1.2倍以下的罚款；对施工单位处工程合同价款百分之二以上百分之二点二以下的罚款；对单位直接负责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1.2倍以上1.7倍以下的罚款；对施工单位处工程合同价款百分之二点二以上百分之三点五以下的罚款；对单位直接负责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333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（2）造成3人以下死亡，或者10人以下重伤，或者1000万元以下直接经济损失。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（3）造成3人以上5人以下死亡，或者10人以上20人以下重伤，或者1000万元以上2000万元以下直接经济损失的。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（4）造成5人以上7人以下死亡，或者20人以上30人以下重伤，或者2000万元以上3000万元以下直接经济损失的。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（6）3年内4次同类违法；或造成重大质量、安全事故的；或造成分部工程存在严重缺陷，经返修和加固处理仍不能满足安全使用要求。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（7）3年内5次同类违法；或造成特别重大质量、安全事故的；或造成单位（子单位）工程存在严重缺陷，经返修和加固处理仍不能满足安全使用要求。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93</w:t>
            </w:r>
          </w:p>
        </w:tc>
        <w:tc>
          <w:tcPr>
            <w:tcW w:w="1376" w:type="dxa"/>
            <w:gridSpan w:val="2"/>
            <w:vMerge w:val="restart"/>
            <w:tcBorders>
              <w:tl2br w:val="nil"/>
              <w:tr2bl w:val="nil"/>
            </w:tcBorders>
            <w:vAlign w:val="center"/>
          </w:tcPr>
          <w:p>
            <w:pPr>
              <w:widowControl/>
              <w:spacing w:line="240" w:lineRule="auto"/>
              <w:jc w:val="left"/>
              <w:rPr>
                <w:rFonts w:ascii="宋体" w:hAnsi="宋体" w:cs="Arial"/>
                <w:color w:val="000000" w:themeColor="text1"/>
                <w:spacing w:val="8"/>
                <w:kern w:val="0"/>
                <w:szCs w:val="21"/>
                <w14:textFill>
                  <w14:solidFill>
                    <w14:schemeClr w14:val="tx1"/>
                  </w14:solidFill>
                </w14:textFill>
              </w:rPr>
            </w:pPr>
          </w:p>
          <w:p>
            <w:pPr>
              <w:widowControl/>
              <w:spacing w:line="240" w:lineRule="auto"/>
              <w:jc w:val="left"/>
              <w:rPr>
                <w:rFonts w:ascii="宋体" w:hAnsi="宋体" w:cs="Arial"/>
                <w:color w:val="000000" w:themeColor="text1"/>
                <w:spacing w:val="8"/>
                <w:kern w:val="0"/>
                <w:szCs w:val="21"/>
                <w14:textFill>
                  <w14:solidFill>
                    <w14:schemeClr w14:val="tx1"/>
                  </w14:solidFill>
                </w14:textFill>
              </w:rPr>
            </w:pPr>
          </w:p>
          <w:p>
            <w:pPr>
              <w:widowControl/>
              <w:spacing w:line="240" w:lineRule="auto"/>
              <w:jc w:val="left"/>
              <w:rPr>
                <w:rFonts w:ascii="宋体" w:hAnsi="宋体" w:cs="Arial"/>
                <w:color w:val="000000" w:themeColor="text1"/>
                <w:spacing w:val="8"/>
                <w:kern w:val="0"/>
                <w:szCs w:val="21"/>
                <w14:textFill>
                  <w14:solidFill>
                    <w14:schemeClr w14:val="tx1"/>
                  </w14:solidFill>
                </w14:textFill>
              </w:rPr>
            </w:pPr>
          </w:p>
          <w:p>
            <w:pPr>
              <w:widowControl/>
              <w:spacing w:line="240" w:lineRule="auto"/>
              <w:jc w:val="left"/>
              <w:rPr>
                <w:rFonts w:ascii="宋体" w:hAnsi="宋体" w:cs="Arial"/>
                <w:color w:val="000000" w:themeColor="text1"/>
                <w:spacing w:val="8"/>
                <w:kern w:val="0"/>
                <w:szCs w:val="21"/>
                <w14:textFill>
                  <w14:solidFill>
                    <w14:schemeClr w14:val="tx1"/>
                  </w14:solidFill>
                </w14:textFill>
              </w:rPr>
            </w:pPr>
          </w:p>
          <w:p>
            <w:pPr>
              <w:widowControl/>
              <w:spacing w:line="240" w:lineRule="auto"/>
              <w:jc w:val="left"/>
              <w:rPr>
                <w:rFonts w:ascii="宋体" w:hAnsi="宋体" w:cs="Arial"/>
                <w:color w:val="000000" w:themeColor="text1"/>
                <w:spacing w:val="8"/>
                <w:kern w:val="0"/>
                <w:szCs w:val="21"/>
                <w14:textFill>
                  <w14:solidFill>
                    <w14:schemeClr w14:val="tx1"/>
                  </w14:solidFill>
                </w14:textFill>
              </w:rPr>
            </w:pPr>
          </w:p>
          <w:p>
            <w:pPr>
              <w:widowControl/>
              <w:spacing w:line="240" w:lineRule="auto"/>
              <w:jc w:val="left"/>
              <w:rPr>
                <w:rFonts w:ascii="宋体" w:hAnsi="宋体" w:cs="Arial"/>
                <w:color w:val="000000" w:themeColor="text1"/>
                <w:spacing w:val="8"/>
                <w:kern w:val="0"/>
                <w:szCs w:val="21"/>
                <w14:textFill>
                  <w14:solidFill>
                    <w14:schemeClr w14:val="tx1"/>
                  </w14:solidFill>
                </w14:textFill>
              </w:rPr>
            </w:pPr>
          </w:p>
          <w:p>
            <w:pPr>
              <w:widowControl/>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承包单位将承包的工程转包或者违法分包</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《建设工程质量管理条例》第十八条第三款/</w:t>
            </w:r>
            <w:r>
              <w:rPr>
                <w:rFonts w:ascii="仿宋_GB2312" w:hAnsi="宋体" w:eastAsia="仿宋_GB2312"/>
                <w:color w:val="000000" w:themeColor="text1"/>
                <w:kern w:val="0"/>
                <w:szCs w:val="21"/>
                <w14:textFill>
                  <w14:solidFill>
                    <w14:schemeClr w14:val="tx1"/>
                  </w14:solidFill>
                </w14:textFill>
              </w:rPr>
              <w:t>第二十五条第三款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《建设工程质量管理条例》第六十二条第一款</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违反本条例规定</w:t>
            </w:r>
            <w:r>
              <w:rPr>
                <w:rFonts w:hint="eastAsia" w:ascii="仿宋_GB2312" w:hAnsi="宋体" w:eastAsia="仿宋_GB2312"/>
                <w:color w:val="000000" w:themeColor="text1"/>
                <w:kern w:val="0"/>
                <w:szCs w:val="21"/>
                <w14:textFill>
                  <w14:solidFill>
                    <w14:schemeClr w14:val="tx1"/>
                  </w14:solidFill>
                </w14:textFill>
              </w:rPr>
              <w:t>，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widowControl/>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二十五以上百分之三十以下的罚款；对施工单位处工程合同价款百分之零点五以上百分之零点六以下的罚款；对单位直接负责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（1）不具有从轻、从重情形的。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三十以上百分之四十五以下的罚款；对施工单位处工程合同价款百分之零点六以上百分之零点八五以下的罚款；对单位直接负责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（2）2年内2次同类型违法。</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四十五以上百分之五十以下的罚款；对施工单位处工程合同价款百分之零点八五以上百分之一以下的罚款；对单位直接负责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（1）造成3人以下死亡，或者10人以下重伤，或者1000万元以下直接经济损失。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五十的罚款；；对施工单位处工程合同价款百分之一的罚款；对单位直接负责主管人员和其他直接责任人员处单位罚款数额百分之十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（2）造成3人以上5人以下死亡，或者10人以上20人以下重伤，或者1000万元以上2000万元以下直接经济损失的。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五十的罚款；；对施工单位处工程合同价款百分之一的罚款；对单位直接负责主管人员和其他直接责任人员处单位罚款数额百发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（3）造成5人以上7人以下死亡，或者20人以上30人以下重伤，或者2000万元以上3000万元以下直接经济损失的。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五十的罚款；；对施工单位处工程合同价款百分之一的罚款；对单位直接负责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（4）造成7人以上10人以下死亡，或者30人以上50人以下重伤，或者3000万元以上5000万元以下直接经济损失的。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五十的罚款；；对施工单位处工程合同价款百分之一的罚款；对单位直接负责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（5）3年内4次同类违法；或造成重大质量、安全事故的；或造成分部工程存在严重缺陷，经返修和加固处理仍不能满足安全使用要求。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五十的罚款；；对施工单位处工程合同价款百分之一的罚款；对单位直接负责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（6）3年内5次同类违法；或造成特别重大质量、安全事故的；或造成单位（子单位）工程存在严重缺陷，经返修和加固处理仍不能满足安全使用要求。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五十的罚款；；对施工单位处工程合同价款百分之一的罚款；对单位直接负责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94</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工程监理单位转让工程监理业务</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《建设工程质量管理条例》第三十四条第三款</w:t>
            </w:r>
          </w:p>
        </w:tc>
        <w:tc>
          <w:tcPr>
            <w:tcW w:w="4354" w:type="dxa"/>
            <w:gridSpan w:val="4"/>
            <w:vMerge w:val="restart"/>
            <w:tcBorders>
              <w:tl2br w:val="nil"/>
              <w:tr2bl w:val="nil"/>
            </w:tcBorders>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《建设工程质量管理条例》第六十二条第二款</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工程监理单位转让工程监理业务的，责令改正，没收违法所得，处合同约定的监理酬金百分之二十五以上百分之五十以下的罚款；可以责令停业整顿，降低资质等级；情节严重的，吊销资质证书。</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widowControl/>
              <w:spacing w:line="240" w:lineRule="auto"/>
              <w:ind w:firstLine="210" w:firstLineChars="100"/>
              <w:jc w:val="left"/>
              <w:rPr>
                <w:rFonts w:ascii="宋体" w:hAnsi="宋体" w:cs="宋体"/>
                <w:bCs/>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责令改正，没收违法所得；处合同约定的监理酬金百分之二十五以上百分之三十以下的罚款，对单位直接负责的主管人员和其他直接责任人员处单位罚款数额百分之五以上百分之六以下的罚款。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责令改正，没收违法所得；处合同约定的监理酬金百分之三十以上百分之五十以下的罚款，对单位直接负责的主管人员和其他直接责任人员处单位罚款数额百分之六以上百分之十以下的罚款。</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6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（2）2年内2次同类型违法。</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责令改正，没收违法所得；处合同约定的监理酬金百分之五十的罚款，对单位直接负责的主管人员和其他直接责任人员处单位罚款数额百分之十的罚款；责令停业整顿30-60日。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（1）造成3人以下死亡，或者10人以下重伤，或者1000万元以下直接经济损失。</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责令改正，没收违法所得；处合同约定的监理酬金百分之五十的罚款，对单位直接负责的主管人员和其他直接责任人员处单位罚款数额百分之十的罚款；责令停业整顿30—60日。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35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（2）造成3人以上5人以下死亡，或者10人以上20人以下重伤，或者1000万元以上2000万元以下直接经济损失。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责令改正，没收违法所得；处合同约定的监理酬金百分之五十的罚款，对单位直接负责的主管人员和其他直接责任人员处单位罚款数额百分之十的罚款；责令停业整顿60-90日。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（3）造成5人以上7人以下死亡，或者20人以上30人以下重伤，或者2000万元以上3000万元以下直接经济损失。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责令改正，没收违法所得；处合同约定的监理酬金百分之五十的罚款，对单位直接负责的主管人员和其他直接责任人员处单位罚款数额百分之十的罚款；责令停业整顿90-120日。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5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（4）造成7人以上10人以下死亡，或者30人以上50人以下重伤，或者3000万元以上5000万元以下直接经济损失。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责令改正，没收违法所得；处合同约定的监理酬金百分之五十的罚款，对单位直接负责的主管人员和其他直接责任人员处单位罚款数额百分之十的罚款；责令停业整顿120-180日。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（5）3年内4次同类违法；或造成重大质量、安全事故的；或造成分部工程存在严重缺陷，经返修和加固处理仍不能满足安全使用要求。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责令改正，没收违法所得；处合同约定的监理酬金百分之五十的罚款，对单位直接负责的主管人员和其他直接责任人员处单位罚款数额百分之十的罚款；降低资质等级。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35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（6）3年内5次同类违法；或造成特别重大质量、安全事故的；或造成单位（子单位）工程存在严重缺陷，经返修和加固处理仍不能满足安全使用要求。</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责令改正，没收违法所得；处合同约定的监理酬金百分之五十的罚款，对单位直接负责的主管人员和其他直接责任人员处单位罚款数额百分之十的罚款；吊销资质证书。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95</w:t>
            </w:r>
          </w:p>
        </w:tc>
        <w:tc>
          <w:tcPr>
            <w:tcW w:w="1376" w:type="dxa"/>
            <w:gridSpan w:val="2"/>
            <w:vMerge w:val="restart"/>
            <w:tcBorders>
              <w:tl2br w:val="nil"/>
              <w:tr2bl w:val="nil"/>
            </w:tcBorders>
            <w:vAlign w:val="center"/>
          </w:tcPr>
          <w:p>
            <w:pPr>
              <w:spacing w:line="240" w:lineRule="auto"/>
              <w:ind w:firstLine="210" w:firstLineChars="100"/>
              <w:jc w:val="left"/>
              <w:rPr>
                <w:rFonts w:ascii="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勘察单位未按照工程建设强制性标准进行勘察</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《建设工程质量管理条例》第十九条第一款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《建设工程质量管理条例》第六十三条第一项</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违反本条例规定，有下列行为之一的，责令改正，处10万元以上30万元以下的罚款：</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（一）勘察单位未按照工程建设强制性标准进行勘察的；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有前款所列行为，造成工程质量事故的，责令停业整顿，降低资质等级；情节严重的，吊销资质证书；造成损失的，依法承担赔偿责任。</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spacing w:line="240" w:lineRule="auto"/>
              <w:ind w:firstLine="210" w:firstLineChars="100"/>
              <w:jc w:val="left"/>
              <w:rPr>
                <w:rFonts w:ascii="宋体"/>
                <w:color w:val="000000" w:themeColor="text1"/>
                <w:sz w:val="22"/>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r>
              <w:rPr>
                <w:rFonts w:hint="eastAsia" w:ascii="宋体" w:hAnsi="宋体" w:cs="Arial"/>
                <w:color w:val="000000" w:themeColor="text1"/>
                <w:spacing w:val="8"/>
                <w:kern w:val="0"/>
                <w:szCs w:val="21"/>
                <w14:textFill>
                  <w14:solidFill>
                    <w14:schemeClr w14:val="tx1"/>
                  </w14:solidFill>
                </w14:textFill>
              </w:rPr>
              <w:t>。</w:t>
            </w:r>
          </w:p>
        </w:tc>
        <w:tc>
          <w:tcPr>
            <w:tcW w:w="1101" w:type="dxa"/>
            <w:gridSpan w:val="3"/>
            <w:tcBorders>
              <w:tl2br w:val="nil"/>
              <w:tr2bl w:val="nil"/>
            </w:tcBorders>
            <w:vAlign w:val="center"/>
          </w:tcPr>
          <w:p>
            <w:pPr>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同一项目中，未按照1条工程建设强制性标准进行勘察。</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jc w:val="left"/>
              <w:rPr>
                <w:rFonts w:ascii="宋体" w:hAnsi="宋体" w:cs="宋体"/>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宋体" w:hAnsi="宋体" w:cs="宋体"/>
                <w:color w:val="000000" w:themeColor="text1"/>
                <w:kern w:val="0"/>
                <w:szCs w:val="21"/>
                <w14:textFill>
                  <w14:solidFill>
                    <w14:schemeClr w14:val="tx1"/>
                  </w14:solidFill>
                </w14:textFill>
              </w:rPr>
            </w:pPr>
          </w:p>
        </w:tc>
        <w:tc>
          <w:tcPr>
            <w:tcW w:w="1101" w:type="dxa"/>
            <w:gridSpan w:val="3"/>
            <w:vMerge w:val="restart"/>
            <w:tcBorders>
              <w:tl2br w:val="nil"/>
              <w:tr2bl w:val="nil"/>
            </w:tcBorders>
            <w:vAlign w:val="center"/>
          </w:tcPr>
          <w:p>
            <w:pPr>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（1）同一项目中，未按照2条以上5条以下工程建设强制性标准进行勘察；或2次违反工程建设强制性标准进行勘察。</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责令改正，处12万元以上25万元以下的罚款，对单位直接负责的主管人员和其他直接责任人员处单位罚款数额百分之六以上百分之八点五以下的罚款。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jc w:val="left"/>
              <w:rPr>
                <w:rFonts w:ascii="宋体" w:hAnsi="宋体" w:cs="宋体"/>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宋体" w:hAnsi="宋体" w:cs="宋体"/>
                <w:color w:val="000000" w:themeColor="text1"/>
                <w:kern w:val="0"/>
                <w:szCs w:val="21"/>
                <w14:textFill>
                  <w14:solidFill>
                    <w14:schemeClr w14:val="tx1"/>
                  </w14:solidFill>
                </w14:textFill>
              </w:rPr>
            </w:pPr>
          </w:p>
        </w:tc>
        <w:tc>
          <w:tcPr>
            <w:tcW w:w="1101" w:type="dxa"/>
            <w:gridSpan w:val="3"/>
            <w:vMerge w:val="continue"/>
            <w:tcBorders>
              <w:tl2br w:val="nil"/>
              <w:tr2bl w:val="nil"/>
            </w:tcBorders>
            <w:vAlign w:val="center"/>
          </w:tcPr>
          <w:p>
            <w:pPr>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（2）同一项目中，未按照5条以上工程建设强制性标准进行勘察；或3次以上违反工程建设强制性标准进行勘察；或造成一般质量事故的。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75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9"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（4）造成重大质量安全事故；或造成分部工程存在严重缺陷，经返修和加固处理仍不能满足安全使用要求。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（5）造成特别重大质量安全事故；或造成单位（子单位）工程存在严重缺陷，经返修和加固处理仍不能满足安全使用要求。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96</w:t>
            </w:r>
          </w:p>
        </w:tc>
        <w:tc>
          <w:tcPr>
            <w:tcW w:w="1376" w:type="dxa"/>
            <w:gridSpan w:val="2"/>
            <w:vMerge w:val="restart"/>
            <w:tcBorders>
              <w:tl2br w:val="nil"/>
              <w:tr2bl w:val="nil"/>
            </w:tcBorders>
            <w:vAlign w:val="center"/>
          </w:tcPr>
          <w:p>
            <w:pPr>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设计单位未根据勘察成果文件进行工程设计</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《建设工程质量管理条例》第二十一条第一款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《建设工程质量管理条例》第六十三条第(二)项</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违反本条例规定，有下列行为之一的，责令改正，处10万元以上30万元以下的罚款： </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（二）设计单位未根据勘察成果文件进行工程设计的；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有前款所列行为，造成工程质量事故的，责令停业整顿，降低资质等级；情节严重的，吊销资质证书；造成损失的，依法承担赔偿责任。</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widowControl/>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r>
              <w:rPr>
                <w:rFonts w:hint="eastAsia" w:ascii="宋体" w:hAnsi="宋体" w:cs="Arial"/>
                <w:color w:val="000000" w:themeColor="text1"/>
                <w:spacing w:val="8"/>
                <w:kern w:val="0"/>
                <w:szCs w:val="21"/>
                <w14:textFill>
                  <w14:solidFill>
                    <w14:schemeClr w14:val="tx1"/>
                  </w14:solidFill>
                </w14:textFill>
              </w:rPr>
              <w:t>。</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责令改正，处12万元以上25万元以下的罚款，对单位直接负责的主管人员和其他直接责任人员处单位罚款数额百分之六以上百分之八点五以下的罚款。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（2）造成一般质量、安全事故的。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65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6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（4）造成重大质量安全事故；或造成分部工程存在严重缺陷，经返修和加固处理仍不能满足安全使用要求。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35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（5）造成特别重大质量安全事故；或造成单位（子单位）工程存在严重缺陷，经返修和加固处理仍不能满足安全使用要求。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97</w:t>
            </w:r>
          </w:p>
        </w:tc>
        <w:tc>
          <w:tcPr>
            <w:tcW w:w="1376"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设计单位指定建筑材料、建筑构配件的生产厂、供应商</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《建设工程质量管理条例》第二十二条第二款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《建设工程质量管理条例》第六十三条第(三)项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违反本条例规定，有下列行为之一的，责令改正，处10万元以上30万元以下的罚款： </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（三）设计单位指定建筑材料、建筑构配件的生产厂、供应商的；</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有前款所列行为，造成工程质量事故的，责令停业整顿，降低资质等级；情节严重的，吊销资质证书；造成损失的，依法承担赔偿责任。</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28"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责令改正，处12万元以上25万元以下的罚款，对单位直接负责的主管人员和其他直接责任人员处单位罚款数额百分之六以上百分之八点五以下的罚款。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（2）造成一般质量、安全事故的。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5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（4）造成重大质量安全事故；或造成分部工程存在严重缺陷，经返修和加固处理仍不能满足安全使用要求。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29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（5）造成特别重大质量安全事故；或造成单位（子单位）工程存在严重缺陷，经返修和加固处理仍不能满足安全使用要求。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98</w:t>
            </w:r>
          </w:p>
        </w:tc>
        <w:tc>
          <w:tcPr>
            <w:tcW w:w="1376"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设计单位未按照工程建设强制性标准进行设计</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《建设工程质量管理条例》第十九条第一款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《建设工程质量管理条例》第六十三条第(四)项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违反本条例规定，有下列行为之一的，责令改正，处10万元以上30万元以下的罚款： </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（四）设计单位未按照工程建设强制性标准进行设计的。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有前款所列行为，造成工程质量事故的，责令停业整顿，降低资质等级；情节严重的，吊销资质证书；造成损失的，依法承担赔偿责任。</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0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责令改正，处12万元以上25万元以下的罚款，对单位直接负责的主管人员和其他直接责任人员处单位罚款数额百分之六以上百分之八点五以下的罚款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（2）造成一般质量、安全事故的。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88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（4）造成重大质量安全事故；或造成分部工程存在严重缺陷，经返修和加固处理仍不能满足安全使用要求。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169"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（5）造成特别重大质量安全事故；或造成单位（子单位）工程存在严重缺陷，经返修和加固处理仍不能满足安全使用要求。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99</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（1）施工单位偷工减料；</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（2）施工单位使用不合格的建筑材料；</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（3）施工单位使用不合格的建筑构配件；</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（4）施工单位使用不合格的设备</w:t>
            </w:r>
          </w:p>
          <w:p>
            <w:pPr>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（5）其他不按照工程设计图纸或者施工技术标准施工的行为</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《建设工程质量管理条例》第六十四条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《建设工程质量管理条例》第六十四条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widowControl/>
              <w:spacing w:line="240" w:lineRule="auto"/>
              <w:ind w:firstLine="210" w:firstLineChars="100"/>
              <w:jc w:val="left"/>
              <w:rPr>
                <w:rFonts w:ascii="宋体" w:hAnsi="宋体" w:cs="宋体"/>
                <w:bCs/>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责令改正，对施工单位处工程合同价款百分之二以上百分之二点二以下的罚款，对单位直接负责的主管人员和其他直接责任人员处单位罚款数额百分之五以上百分之六以下的罚款。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49"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责令改正，对施工单位处工程合同价款百分之二点二以上百分之三点五以下的罚款，对单位直接负责的主管人员和其他直接责任人员处单位罚款数额百分之六以上百分之八点五以下的罚款。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（2）造成一般质量事故的。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责令改正，对施工单位处工程合同价款百分之三点五以上百分之四以下的罚款，对单位直接负责的主管人员和其他直接责任人员处单位罚款数额百分之八点五以上百分之十以下的罚款。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（1）造成较大质量事故（</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万元以下直接经济损失）；或造成重要的检验批达不到设计要求。</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责令改正，对施工单位处工程合同价款百分之四的罚款，对单位直接负责的主管人员和其他直接责任人员处单位罚款数额百分之十的罚款；责令停业整顿60-90日。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75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（2）造成较大质量事故（</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万元以下直接经济损失）；或造成重要的分项工程质量不符合要求。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责令改正，对施工单位处工程合同价款百分之四的罚款，对单位直接负责的主管人员和其他直接责任人员处单位罚款数额百分之十的罚款；责令停业整顿90-120日。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799"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（3）造成较大质量事故（</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万元以下直接经济损失）；或造成重要分部工程质量不符合要求，经返修或加固处理才能满足安全使用要求。</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责令改正，对施工单位处工程合同价款百分之四的罚款，对单位直接负责的主管人员和其他直接责任人员处单位罚款数额百分之十的罚款；责令停业整顿120-180日。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11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（4）造成重大质量事故；或造成分部工程存在严重缺陷，经返修和加固处理仍不能满足安全使用要求。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责令改正，对施工单位处工程合同价款百分之四的罚款，对单位直接负责的主管人员和其他直接责任人员处单位罚款数额百分之十的罚款；降低资质等级。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（5）造成特别重大质量事故；或造成单位（子单位）工程存在严重缺陷，经返修和加固处理仍不能满足安全使用要求。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责令改正，对施工单位处工程合同价款百分之四的罚款，对单位直接负责的主管人员和其他直接责任人员处单位罚款数额百分之十的罚款；吊销资质证书。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100</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施工单位未对建筑材料、建筑构配件、设备和商品混凝土进行检验，或者未对涉及结构安全的试块、试件以及有关材料取样检测</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《建设工程质量管理条例》第三十一条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《建设工程质量管理条例》第六十五条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widowControl/>
              <w:spacing w:line="240" w:lineRule="auto"/>
              <w:ind w:firstLine="210" w:firstLineChars="100"/>
              <w:jc w:val="left"/>
              <w:rPr>
                <w:rFonts w:ascii="宋体" w:hAnsi="宋体" w:cs="宋体"/>
                <w:bCs/>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处12万元以上17万元以下的罚款，责令改正，对单位直接负责的主管人员和其他直接责任人员处单位罚款数额百分之六以上百分之八点五以下的罚款。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（2）造成一般质量事故的。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责令改正，处17万元以上20万元以下的罚款，对单位直接负责的主管人员和其他直接责任人员处单位罚款数额百分之八点五以上百分之十以下的罚款。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（1）造成较大质量事故（</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万元以下直接经济损失）；或造成重要的检验批达不到设计要求。</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（2）造成较大质量事故（</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万元以下直接经济损失）；或造成重要的分项工程质量不符合要求。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（3）造成较大质量事故（</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万元以下直接经济损失）；或造成重要分部工程质量不符合要求，经返修或加固处理才能满足安全使用要求。</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（4）造成重大质量事故；或造成分部工程存在严重缺陷，经返修和加固处理仍不能满足安全使用要求。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97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（5）造成特别重大质量事故；或造成单位（子单位）工程存在严重缺陷，经返修和加固处理仍不能满足安全使用要求。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101</w:t>
            </w:r>
          </w:p>
        </w:tc>
        <w:tc>
          <w:tcPr>
            <w:tcW w:w="1376"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施工单位不履行保修义务或者拖延履行保修义务</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《建设工程质量管理条例》第四十一条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《建设工程质量管理条例》第六十六条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违反本条例规定，施工单位不履行保修义务或者拖延履行保修义务的，责令改正，处10万元以上20万元以下的罚款，并对在保修期内因质量缺陷造成的损失承担赔偿责任。</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施工单位拖延履行保修义务15日以下的。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施工单位拖延履行保修义务15日以上30日以下的。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责令改正，处12万元以上17万元以下的罚款，对单位直接负责的主管人员和其他直接责任人员处单位罚款数额百分之六以上百分之八点五以下的罚款。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施工单位拖延履行保修义务30日以上或不履行保修义务的。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责令改正，处17万元以上20万元以下的罚款，对单位直接负责的主管人员和其他直接责任人员处单位罚款数额百分之八点五以上百分之十以下的罚款。</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102</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（一）与建设单位或者施工单位串通，弄虚作假、降低工程质量的；</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（二）将不合格的建设工程、建筑材料、建筑构配件和设备按照合格签字的。</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宋体" w:hAnsi="宋体" w:cs="宋体"/>
                <w:color w:val="000000" w:themeColor="text1"/>
                <w:kern w:val="0"/>
                <w:szCs w:val="21"/>
                <w14:textFill>
                  <w14:solidFill>
                    <w14:schemeClr w14:val="tx1"/>
                  </w14:solidFill>
                </w14:textFill>
              </w:rPr>
            </w:pPr>
          </w:p>
        </w:tc>
        <w:tc>
          <w:tcPr>
            <w:tcW w:w="1128" w:type="dxa"/>
            <w:gridSpan w:val="2"/>
            <w:vMerge w:val="restart"/>
            <w:tcBorders>
              <w:tl2br w:val="nil"/>
              <w:tr2bl w:val="nil"/>
            </w:tcBorders>
            <w:vAlign w:val="center"/>
          </w:tcPr>
          <w:p>
            <w:pPr>
              <w:widowControl/>
              <w:spacing w:line="240" w:lineRule="auto"/>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《建设工程质量管理条例》第六十七条第(一)项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《建设工程质量管理条例》第六十七条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工程监理单位有下列行为之一的，责令改正，处５０万元以上１００万元以下的罚款，降低资质等级或者吊销资质证书；有违法所得的，予以没收；造成损失的，承担连带赔偿责任：</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（一）与建设单位或者施工单位串通，弄虚作假、降低工程质量的；</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（二）将不合格的建设工程、建筑材料、建筑构配件和设备按照合格签字的。</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责令改正，处50万元以上60万元以下的罚款，对单位直接负责的主管人员和其他直接责任人员处单位罚款数额百分之五以上百分之六以下的罚款；有违法所得的，予以没收。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责令改正，处60万元以上85万元以下的罚款，对单位直接负责的主管人员和其他直接责任人员处单位罚款数额百分之六以上百分之八点五以下的罚款；有违法所得的，予以没收。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40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（1）造成一般或较大质量事故的。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责令改正，处85万元以上100万元以下的罚款，对单位直接负责的主管人员和其他直接责任人员处单位罚款数额百分之八点五以上百分之十以下的罚款；有违法所得的，予以没收。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（2）造成重大质量事故；或造成分部工程存在严重缺陷，经返修和加固处理仍不能满足安全使用要求。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责令改正，处100万元的罚款，对单位直接负责的主管人员和其他直接责任人员处单位罚款数额百分之十的罚款，降低资质等级；有违法所得的，予以没收。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（3）造成特别重大质量；或造成单位（子单位）工程存在严重缺陷，经返修和加固处理仍不能满足安全使用要求。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责令改正，处100万元的罚款，对单位直接负责的主管人员和其他直接责任人员处单位罚款数额百分之十的罚款，吊销资质证书；有违法所得的，予以没收。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103</w:t>
            </w:r>
          </w:p>
        </w:tc>
        <w:tc>
          <w:tcPr>
            <w:tcW w:w="1376"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工程监理单位与被监理工程的施工承包单位以及建筑材料、建筑构配件和设备供应单位有隶属关系或者其他利害关系承担该项建设工程的监理业务</w:t>
            </w:r>
          </w:p>
        </w:tc>
        <w:tc>
          <w:tcPr>
            <w:tcW w:w="1128" w:type="dxa"/>
            <w:gridSpan w:val="2"/>
            <w:vMerge w:val="restart"/>
            <w:tcBorders>
              <w:tl2br w:val="nil"/>
              <w:tr2bl w:val="nil"/>
            </w:tcBorders>
            <w:vAlign w:val="center"/>
          </w:tcPr>
          <w:p>
            <w:pPr>
              <w:widowControl/>
              <w:spacing w:line="240" w:lineRule="auto"/>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《建设工程质量管理条例》第三十五条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《建设工程质量管理条例》第六十八条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责令改正，处5万元以上6万元以下的罚款，对单位直接负责的主管人员和其他直接责任人员处单位罚款数额百分之五以上百分之六以下的罚款；有违法所得的，予以没收。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责令改正，处6万元以上8.5万元以下的罚款，对单位直接负责的主管人员和其他直接责任人员处单位罚款数额百分之六以上百分之八点五以下的罚款；有违法所得的，予以没收。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（1）造成一般或较大质量事故的。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责令改正，处8.5万元以上10万元以下的罚款，对单位直接负责的主管人员和其他直接责任人员处单位罚款数额百分之八点五以上百分之十以下的罚款；有违法所得的，予以没收。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02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（2）造成重大质量事故；或造成分部工程存在严重缺陷，经返修和加固处理仍不能满足安全使用要求。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责令改正，处10万元的罚款，对单位直接负责的主管人员和其他直接责任人员处单位罚款数额百分之十的罚款有违法所得的，予以没收；降低资质等级。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8"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（3）造成特别重大质量；或造成单位（子单位）工程存在严重缺陷，经返修和加固处理仍不能满足安全使用要。</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责令改正，处10万元的罚款，对单位直接负责的主管人员和其他直接责任人员处单位罚款数额百分之十的罚款；有违法所得的，予以没收；吊销资质证书。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64"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104</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涉及建筑主体或者承重结构变动的装修工程，没有设计方案擅自施工的；</w:t>
            </w:r>
          </w:p>
          <w:p>
            <w:pPr>
              <w:widowControl/>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房屋建筑使用者在装修过程中擅自变动房屋建筑主体和承重结构的</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《建设工程质量管理条例》第十五条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《建设工程质量管理条例》第六十九条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有前款所列行为，造成损失的，依法承担赔偿责任。</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p>
            <w:pPr>
              <w:spacing w:line="240" w:lineRule="auto"/>
              <w:jc w:val="left"/>
              <w:rPr>
                <w:rFonts w:ascii="宋体" w:hAnsi="宋体" w:cs="宋体"/>
                <w:color w:val="000000" w:themeColor="text1"/>
                <w:kern w:val="0"/>
                <w:szCs w:val="21"/>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（1）涉及建筑主体或者承重结构变动的装修工程，没有设计方案擅自施工，未造成质量事故，不需要加固补强的。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责令改正，处50万元以上65万元以下的罚款，对单位直接负责的主管人员和其他直接责任人员处单位罚款数额百分之五以上百分之六点五以下的罚款。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宋体" w:hAnsi="宋体" w:cs="Arial"/>
                <w:color w:val="000000" w:themeColor="text1"/>
                <w:spacing w:val="8"/>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宋体" w:hAnsi="宋体" w:cs="宋体"/>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宋体" w:hAnsi="宋体" w:cs="宋体"/>
                <w:color w:val="000000" w:themeColor="text1"/>
                <w:kern w:val="0"/>
                <w:szCs w:val="21"/>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（2）房屋建筑使用者在装修过程中擅自变动房屋建筑主体和承重结构，未造成质量事故，不需要加固补强的。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责令改正，处5万元以上6.5万元以下的罚款，对单位直接负责的主管人员和其他直接责任人员处单位罚款数额百分之五以上百分之六点五以下的罚款。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（1）涉及建筑主体或者承重结构变动的装修工程，没有设计方案擅自施工，造成一般质量事故；或不满足结构安全，需局部加固补强的。</w:t>
            </w:r>
          </w:p>
        </w:tc>
        <w:tc>
          <w:tcPr>
            <w:tcW w:w="3232" w:type="dxa"/>
            <w:tcBorders>
              <w:tl2br w:val="nil"/>
              <w:tr2bl w:val="nil"/>
            </w:tcBorders>
            <w:vAlign w:val="center"/>
          </w:tcPr>
          <w:p>
            <w:pPr>
              <w:widowControl/>
              <w:spacing w:line="240" w:lineRule="auto"/>
              <w:ind w:left="-2" w:leftChars="-1"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责令改正，处65万元以上85万元以下的罚款，对单位直接负责的主管人员和其他直接责任人员处单位罚款数额百分之六点五以上百分之八点五以下的罚款。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（2）房屋建筑使用者在装修过程中擅自变动房屋建筑主体和承重结构，造成一般质量事故；或不满足结构安全，需局部加固补强的。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责令改正，处6.5万元以上8.5万元以下的罚款，对单位直接负责的主管人员和其他直接责任人员处单位罚款数额百分之六点五以上百分之八点五以下的罚款。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81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（1）涉及建筑主体或者承重结构变动的装修工程，没有设计方案擅自施工， 造成较大以上质量事故；或影响结构安全，需全面加固处理的。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责令改正，处85万元以上100万元以下的罚款，对单位直接负责的主管人员和其他直接责任人员处单位罚款数额百分之八点五以上百分之十以下的罚款。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8"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（2）房屋建筑使用者在装修过程中擅自变动房屋建筑主体和承重结构，造成较大以上质量事故；或影响结构安全，需全面加固处理的。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责令改正，处8.5万元以上10万元以下的罚款，对单位直接负责的主管人员和其他直接责任人员处单位罚款数额百分之八点五以上百分之十以下的罚款。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105</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注册建筑师、注册结构工程师、监理工程师等注册执业人员因过错造成质量事故的</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《建设工程质量管理条例》第七十二条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《建设工程质量管理条例》第七十二条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注册建筑师、注册结构工程师、监理工程师等注册执业人员因过错造成质量事故的，责令停止执业1年；造成重大质量事故的，吊销执业资格证书，5年以内不予注册；情节特别恶劣的，终身不予注册。</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造成一般质量事故或者其他较严重后果的。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责令停止执业1年。</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造成较大质量事故或者其他严重后果的。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吊销执业资格证书，5年内不予注册。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造成重大、特别重大质量事故或者其他特别严重后果的。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106</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w:t>
            </w:r>
            <w:r>
              <w:rPr>
                <w:rFonts w:hint="eastAsia" w:ascii="仿宋_GB2312" w:hAnsi="方正书宋简体" w:eastAsia="仿宋_GB2312"/>
                <w:color w:val="000000" w:themeColor="text1"/>
                <w:kern w:val="0"/>
                <w:sz w:val="22"/>
                <w:szCs w:val="21"/>
                <w14:textFill>
                  <w14:solidFill>
                    <w14:schemeClr w14:val="tx1"/>
                  </w14:solidFill>
                </w14:textFill>
              </w:rPr>
              <w:t>将备案机关决定重新组织竣工验收的工程，在重新组织竣工验收前，擅自使用</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《房屋建筑和市政基础设施工程竣工验收备案管理办法》第十条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《房屋建筑和市政基础设施工程竣工验收备案管理办法》第十条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建设单位将备案机关决定重新组织竣工验收的工程，在重新组织竣工验收前，擅自使用的，备案机关责令停止使用，处工程合同价款2％以上4％以下罚款。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责令停止使用，处工程合同价款2％以上2.2％以下罚款。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4354" w:type="dxa"/>
            <w:gridSpan w:val="4"/>
            <w:vMerge w:val="continue"/>
            <w:tcBorders>
              <w:tl2br w:val="nil"/>
              <w:tr2bl w:val="nil"/>
            </w:tcBorders>
            <w:vAlign w:val="center"/>
          </w:tcPr>
          <w:p>
            <w:pPr>
              <w:spacing w:line="240" w:lineRule="auto"/>
              <w:jc w:val="left"/>
              <w:rPr>
                <w:rFonts w:ascii="仿宋_GB2312" w:hAnsi="方正书宋简体" w:eastAsia="仿宋_GB2312"/>
                <w:color w:val="000000" w:themeColor="text1"/>
                <w:kern w:val="0"/>
                <w:sz w:val="22"/>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责令停止使用，处工程合同价款2.2％以上3.5％以下罚款。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4354" w:type="dxa"/>
            <w:gridSpan w:val="4"/>
            <w:vMerge w:val="continue"/>
            <w:tcBorders>
              <w:tl2br w:val="nil"/>
              <w:tr2bl w:val="nil"/>
            </w:tcBorders>
            <w:vAlign w:val="center"/>
          </w:tcPr>
          <w:p>
            <w:pPr>
              <w:spacing w:line="240" w:lineRule="auto"/>
              <w:jc w:val="left"/>
              <w:rPr>
                <w:rFonts w:ascii="仿宋_GB2312" w:hAnsi="方正书宋简体" w:eastAsia="仿宋_GB2312"/>
                <w:color w:val="000000" w:themeColor="text1"/>
                <w:kern w:val="0"/>
                <w:sz w:val="22"/>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（3）经有关部门确认，存在商业贿赂情形的。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责令停止使用，处工程合同价款3.5％以上4％以下罚款。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107</w:t>
            </w:r>
          </w:p>
        </w:tc>
        <w:tc>
          <w:tcPr>
            <w:tcW w:w="1376" w:type="dxa"/>
            <w:gridSpan w:val="2"/>
            <w:vMerge w:val="restart"/>
            <w:tcBorders>
              <w:tl2br w:val="nil"/>
              <w:tr2bl w:val="nil"/>
            </w:tcBorders>
            <w:vAlign w:val="center"/>
          </w:tcPr>
          <w:p>
            <w:pPr>
              <w:widowControl/>
              <w:spacing w:line="240" w:lineRule="auto"/>
              <w:ind w:firstLine="220" w:firstLineChars="100"/>
              <w:jc w:val="left"/>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方正书宋简体" w:eastAsia="仿宋_GB2312"/>
                <w:color w:val="000000" w:themeColor="text1"/>
                <w:kern w:val="0"/>
                <w:sz w:val="22"/>
                <w:szCs w:val="21"/>
                <w14:textFill>
                  <w14:solidFill>
                    <w14:schemeClr w14:val="tx1"/>
                  </w14:solidFill>
                </w14:textFill>
              </w:rPr>
              <w:t>建设单位采用虚假证明文件办理工程竣工验收备案</w:t>
            </w:r>
          </w:p>
        </w:tc>
        <w:tc>
          <w:tcPr>
            <w:tcW w:w="1128"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《房屋建筑和市政基础设施工程竣工验收备案管理办法》第十一条</w:t>
            </w:r>
          </w:p>
        </w:tc>
        <w:tc>
          <w:tcPr>
            <w:tcW w:w="4354" w:type="dxa"/>
            <w:gridSpan w:val="4"/>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《房屋建筑和市政基础设施工程竣工验收备案管理办法》第十一条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建设单位采用虚假证明文件办理工程竣工验收备案的，工程竣工验收无效，备案机关责令停止使用，重新组织竣工验收，处20万元以上50万元以下罚款；构成犯罪的，依法追究刑事责任。</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责令停止使用，重新组织竣工验收，处20万元以上25万元以下罚款。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责令停止使用，重新组织竣工验收，处25万元以上40万元以下罚款。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（3）经有关部门确认，存在商业贿赂情形的；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责令停止使用，重新组织竣工验收，处40万元以上50万元以下罚款。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108</w:t>
            </w:r>
          </w:p>
        </w:tc>
        <w:tc>
          <w:tcPr>
            <w:tcW w:w="1376" w:type="dxa"/>
            <w:gridSpan w:val="2"/>
            <w:vMerge w:val="restart"/>
            <w:tcBorders>
              <w:tl2br w:val="nil"/>
              <w:tr2bl w:val="nil"/>
            </w:tcBorders>
            <w:vAlign w:val="center"/>
          </w:tcPr>
          <w:p>
            <w:pPr>
              <w:widowControl/>
              <w:spacing w:line="240" w:lineRule="auto"/>
              <w:ind w:firstLine="220" w:firstLineChars="100"/>
              <w:jc w:val="left"/>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方正书宋简体" w:eastAsia="仿宋_GB2312"/>
                <w:color w:val="000000" w:themeColor="text1"/>
                <w:kern w:val="0"/>
                <w:sz w:val="22"/>
                <w:szCs w:val="21"/>
                <w14:textFill>
                  <w14:solidFill>
                    <w14:schemeClr w14:val="tx1"/>
                  </w14:solidFill>
                </w14:textFill>
              </w:rPr>
              <w:t>施工单位在工程竣工验收后，不向建设单位出具质量保修书</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《房屋建筑工程质量保修办法》第六条/第十八条第(一)项</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《房屋建筑工程质量保修办法》第十八条第(一)项</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施工单位有下列行为之一的，由建设行政主管部门责令改正，并处1万元以上3万元以下的罚款。</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(一)工程竣工验收后，不向建设单位出具质量保修书的；</w:t>
            </w:r>
          </w:p>
        </w:tc>
        <w:tc>
          <w:tcPr>
            <w:tcW w:w="1101" w:type="dxa"/>
            <w:gridSpan w:val="3"/>
            <w:tcBorders>
              <w:tl2br w:val="nil"/>
              <w:tr2bl w:val="nil"/>
            </w:tcBorders>
            <w:vAlign w:val="center"/>
          </w:tcPr>
          <w:p>
            <w:pPr>
              <w:widowControl/>
              <w:spacing w:line="240" w:lineRule="auto"/>
              <w:jc w:val="left"/>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方正书宋简体" w:eastAsia="仿宋_GB2312"/>
                <w:color w:val="000000" w:themeColor="text1"/>
                <w:kern w:val="0"/>
                <w:sz w:val="22"/>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方正书宋简体" w:eastAsia="仿宋_GB2312"/>
                <w:color w:val="000000" w:themeColor="text1"/>
                <w:kern w:val="0"/>
                <w:sz w:val="22"/>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方正书宋简体" w:eastAsia="仿宋_GB2312"/>
                <w:color w:val="000000" w:themeColor="text1"/>
                <w:kern w:val="0"/>
                <w:sz w:val="22"/>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109</w:t>
            </w:r>
          </w:p>
        </w:tc>
        <w:tc>
          <w:tcPr>
            <w:tcW w:w="1376" w:type="dxa"/>
            <w:gridSpan w:val="2"/>
            <w:vMerge w:val="restart"/>
            <w:tcBorders>
              <w:tl2br w:val="nil"/>
              <w:tr2bl w:val="nil"/>
            </w:tcBorders>
            <w:vAlign w:val="center"/>
          </w:tcPr>
          <w:p>
            <w:pPr>
              <w:widowControl/>
              <w:spacing w:line="240" w:lineRule="auto"/>
              <w:ind w:firstLine="220" w:firstLineChars="100"/>
              <w:jc w:val="left"/>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方正书宋简体" w:eastAsia="仿宋_GB2312"/>
                <w:color w:val="000000" w:themeColor="text1"/>
                <w:kern w:val="0"/>
                <w:sz w:val="22"/>
                <w:szCs w:val="21"/>
                <w14:textFill>
                  <w14:solidFill>
                    <w14:schemeClr w14:val="tx1"/>
                  </w14:solidFill>
                </w14:textFill>
              </w:rPr>
              <w:t>施工单位质量保修的内容、期限违反本办法规定的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《房屋建筑工程质量保修办法》第七条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《房屋建筑工程质量保修办法》第十八条第(二)项</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施工单位有下列行为之一的，由建设行政主管部门责令改正，并处1万元以上3万元以下的罚款。</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(二)质量保修的内容、期限违反本办法规定的。</w:t>
            </w:r>
          </w:p>
        </w:tc>
        <w:tc>
          <w:tcPr>
            <w:tcW w:w="1101" w:type="dxa"/>
            <w:gridSpan w:val="3"/>
            <w:tcBorders>
              <w:tl2br w:val="nil"/>
              <w:tr2bl w:val="nil"/>
            </w:tcBorders>
            <w:vAlign w:val="center"/>
          </w:tcPr>
          <w:p>
            <w:pPr>
              <w:widowControl/>
              <w:spacing w:line="240" w:lineRule="auto"/>
              <w:jc w:val="left"/>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方正书宋简体" w:eastAsia="仿宋_GB2312"/>
                <w:color w:val="000000" w:themeColor="text1"/>
                <w:kern w:val="0"/>
                <w:sz w:val="22"/>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方正书宋简体" w:eastAsia="仿宋_GB2312"/>
                <w:color w:val="000000" w:themeColor="text1"/>
                <w:kern w:val="0"/>
                <w:sz w:val="22"/>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责令改正，处1.52万元以上2.5万元以下的罚款。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方正书宋简体" w:eastAsia="仿宋_GB2312"/>
                <w:color w:val="000000" w:themeColor="text1"/>
                <w:kern w:val="0"/>
                <w:sz w:val="22"/>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110</w:t>
            </w:r>
          </w:p>
        </w:tc>
        <w:tc>
          <w:tcPr>
            <w:tcW w:w="1376" w:type="dxa"/>
            <w:gridSpan w:val="2"/>
            <w:vMerge w:val="restart"/>
            <w:tcBorders>
              <w:tl2br w:val="nil"/>
              <w:tr2bl w:val="nil"/>
            </w:tcBorders>
            <w:vAlign w:val="center"/>
          </w:tcPr>
          <w:p>
            <w:pPr>
              <w:spacing w:line="240" w:lineRule="auto"/>
              <w:ind w:firstLine="220" w:firstLineChars="100"/>
              <w:jc w:val="left"/>
              <w:rPr>
                <w:rFonts w:ascii="仿宋_GB2312" w:hAnsi="方正书宋简体" w:eastAsia="仿宋_GB2312"/>
                <w:color w:val="000000" w:themeColor="text1"/>
                <w:kern w:val="0"/>
                <w:sz w:val="22"/>
                <w14:textFill>
                  <w14:solidFill>
                    <w14:schemeClr w14:val="tx1"/>
                  </w14:solidFill>
                </w14:textFill>
              </w:rPr>
            </w:pPr>
          </w:p>
          <w:p>
            <w:pPr>
              <w:spacing w:line="240" w:lineRule="auto"/>
              <w:ind w:firstLine="220" w:firstLineChars="100"/>
              <w:jc w:val="left"/>
              <w:rPr>
                <w:rFonts w:ascii="仿宋_GB2312" w:hAnsi="方正书宋简体" w:eastAsia="仿宋_GB2312"/>
                <w:color w:val="000000" w:themeColor="text1"/>
                <w:kern w:val="0"/>
                <w:sz w:val="22"/>
                <w14:textFill>
                  <w14:solidFill>
                    <w14:schemeClr w14:val="tx1"/>
                  </w14:solidFill>
                </w14:textFill>
              </w:rPr>
            </w:pPr>
          </w:p>
          <w:p>
            <w:pPr>
              <w:spacing w:line="240" w:lineRule="auto"/>
              <w:ind w:firstLine="220" w:firstLineChars="100"/>
              <w:jc w:val="left"/>
              <w:rPr>
                <w:rFonts w:ascii="仿宋_GB2312" w:hAnsi="方正书宋简体" w:eastAsia="仿宋_GB2312"/>
                <w:color w:val="000000" w:themeColor="text1"/>
                <w:kern w:val="0"/>
                <w:sz w:val="22"/>
                <w14:textFill>
                  <w14:solidFill>
                    <w14:schemeClr w14:val="tx1"/>
                  </w14:solidFill>
                </w14:textFill>
              </w:rPr>
            </w:pPr>
          </w:p>
          <w:p>
            <w:pPr>
              <w:spacing w:line="240" w:lineRule="auto"/>
              <w:jc w:val="left"/>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检测机构未取得相应的资质，擅自承担本办法规定的检测业务</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《建设工程质量检测管理办法》第四条第三款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《建设工程质量检测管理办法》第二十六条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违反本办法规定，未取得相应的资质，擅自承担本办法规定的检测业务的，其检测报告无效，由县级以上地方人民政府建设主管部门责令改正，并处1万元以上3万元以下的罚款。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《建设工程质量检测管理办法》第三十二条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依照本办法规定，给予检测机构罚款处罚的，对检测机构的法定代表人和其他直接责任人员处罚款数额5﹪以上10﹪以下的罚款。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责令改正，处1万元以上1.5万元以下的罚款，对检测机构的法定代表人和其他直接责任人员处罚款数额百分之五以上百分之六以下的罚款。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责令改正，处1.5万元以上2.5万元以下的罚款，对检测机构的法定代表人和其他直接责任人员处罚款数额百分之六以上百分之八以下的罚款。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责令改正，处2.5万元以上3万元以下的罚款，对检测机构的法定代表人和其他直接责任人员处罚款数额百分之八以上百分之十以下的罚款。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111</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检测机构以欺骗、贿赂等不正当手段取得资质证书</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《建设工程质量检测管理办法》第二十八条</w:t>
            </w:r>
          </w:p>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《建设工程质量检测管理办法》第二十八条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资质证书的，由省、自治区、直辖市人民政府建设主管部门撤销其资质证书，3年内不得再次申请资质证书；并由县级以上地方人民政府建设主管部门处以1万元以上3万元以下的罚款；构成犯罪的，依法追究刑事责任。</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《建设工程质量检测管理办法》第三十二条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依照本办法规定，给予检测机构罚款处罚的，对检测机构的法定代表人和其他直接责任人员处罚款数额5﹪以上10﹪以下的罚款。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撤销其资质证书，3年内不得再次申请资质证书，处1万元以上1.5万元以下的罚款，对检测机构的法定代表人和其他直接责任人员处罚款数额百分之五以上百分之六以下的罚款。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撤销其资质证书，3年内不得再次申请资质证书，处1.5万元以上2.5万元以下的罚款，对检测机构的法定代表人和其他直接责任人员处罚款数额百分之六以上百分之八以下的罚款。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（3）经有关部门确认，存在商业贿赂情形的；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撤销其资质证书，3年内不得再次申请资质证书，处2.5万元以上3万元以下的罚款，对检测机构的法定代表人和其他直接责任人员处罚款数额百分之八以上百分之十以下的罚款。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0"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112</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（一）超出资质范围从事检测活动的；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（二）涂改、倒卖、出租、出借、转让资质证书的；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（三）使用不符合条件的检测人员的；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（四）未按规定上报发现的违法违规行为和检测不合格事项的；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（五）未按规定在检测报告上签字盖章的；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（六）未按照国家有关工程建设强制性标准进行检测的；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（七）档案资料管理混乱，造成检测数据无法追溯的；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（八）转包检测业务的。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《建设工程质量检测管理办法》第二十九条第(一)项</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《建设工程质量检测管理办法》第二十九条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检测机构违反本办法规定，有下列行为之一的，由县级以上地方人民政府建设主管部门责令改正，可并处1万元以上3万元以下的罚款；构成犯罪的，依法追究刑事责任：</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　（一）超出资质范围从事检测活动的；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　（二）涂改、倒卖、出租、出借、转让资质证书的；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　（三）使用不符合条件的检测人员的；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　（四）未按规定上报发现的违法违规行为和检测不合格事项的；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　（五）未按规定在检测报告上签字盖章的；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　（六）未按照国家有关工程建设强制性标准进行检测的；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　（七）档案资料管理混乱，造成检测数据无法追溯的；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　（八）转包检测业务的。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责令改正，处1万元以上1.5万元以下的罚款，对检测机构的法定代表人和其他直接责任人员处罚款数额百分之五以上百分之六以下的罚款。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实施违法行为，造成不良社会影响或初次违法，未主动消除或减轻违法行为危害后果的。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责令改正，处1.5万元以上2.5万元以下的罚款，对检测机构的法定代表人和其他直接责任人员处罚款数额百分之六以上百分之八以下的罚款。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（1）造成质量、安全事故，或造成其他严重危害后果的；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（2）2年内2次及以上同类型违法；</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（3）足以影响建设市场秩序和社会稳定的；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（4）法律法规规定的其他应当从重处罚的情形。</w:t>
            </w:r>
          </w:p>
        </w:tc>
        <w:tc>
          <w:tcPr>
            <w:tcW w:w="3232" w:type="dxa"/>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责令改正，处2.5万元以上3万元以下的罚款，对检测机构的法定代表人和其他直接责任人员处罚款数额百分之八以上百分之十以下的罚款。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113</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委托未取得相应资质的检测机构进行检测的</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《建设工程质量检测管理办法》第十二条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《建设工程质量检测管理办法》第三十一条第(一)项</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违反本办法规定，委托方有下列行为之一的，由县级以上地方人民政府建设主管部门责令改正，处1万元以上3万元以下的罚款：</w:t>
            </w:r>
          </w:p>
          <w:p>
            <w:pPr>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（一）委托未取得相应资质的检测机构进行检测的；</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《建设工程质量检测管理办法》第三十二条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依照本办法规定，给予检测机构罚款处罚的，对检测机构的法定代表人和其他直接责任人员处罚款数额5﹪以上10﹪以下的罚款。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责令改正，处1万元以上1.5万元以下罚款，对单位直接负责的主管人员和其他直接责任人员处单位罚款数额百分之五以上百分之六以下的罚款。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责令改正，处1.5万元以上2.5万元以下罚款，对单位直接负责的主管人员和其他直接责任人员处单位罚款数额百分之六以上百分之八点五以下的罚款。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责令改正，处2.5万元以上3万元以下罚款，对单位直接负责的主管人员和其他直接责任人员处单位罚款数额百分之八点五以上百分之十以下的罚款。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114</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明示或暗示检测机构出具虚假检测报告，篡改或伪造检测报告的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《建设工程质量检测管理办法》第十五条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《建设工程质量检测管理办法》第三十一条第(二)项</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违反本办法规定，委托方有下列行为之一的，由县级以上地方人民政府建设主管部门责令改正，处1万元以上3万元以下的罚款：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（二）明示或暗示检测机构出具虚假检测报告，篡改或伪造检测报告的；</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《建设工程质量检测管理办法》第三十二条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依照本办法规定，给予检测机构罚款处罚的，对检测机构的法定代表人和其他直接责任人员处罚款数额5﹪以上10﹪以下的罚款。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责令改正，可处1万元以上1.5万元以下的罚款，对检测机构的法定代表人和其他直接责任人员处罚款数额百分之五以上百分之六以下的罚款。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责令改正，处1.5万元以上2.5万元以下的罚款，对检测机构的法定代表人和其他直接责任人员处罚款数额百分之六以上百分之八点五以下的罚款。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责令改正，处2.5万元以上3万元以下的罚款，对检测机构的法定代表人和其他直接责任人员处罚款数额百分之八点五以上百分之十以下的罚款。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115</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弄虚作假送检试样的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《建设工程质量检测管理办法》第十三条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《建设工程质量检测管理办法》第三十一条第(三)项</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违反本办法规定，委托方有下列行为之一的，由县级以上地方人民政府建设主管部门责令改正，处1万元以上3万元以下的罚款：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（三）弄虚作假送检试样的。</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《建设工程质量检测管理办法》第三十二条</w:t>
            </w:r>
          </w:p>
          <w:p>
            <w:pPr>
              <w:widowControl/>
              <w:spacing w:before="100" w:beforeAutospacing="1" w:after="100" w:afterAutospacing="1"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依照本办法规定，给予检测机构罚款处罚的，对检测机构的法定代表人和其他直接责任人员处罚款数额5﹪以上10﹪以下的罚款。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责令改正，可处1万元以上1.5万元以下的罚款，对检测机构的法定代表人和其他直接责任人员处罚款数额百分之五以上百分之六以下的罚款。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责令改正，处1.5万元以上2.5万元以下的罚款，对检测机构的法定代表人和其他直接责任人员处罚款数额百分之六以上百分之八点五以下的罚款。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责令改正，处2.5万元以上3万元以下的罚款，对检测机构的法定代表人和其他直接责任人员处罚款数额百分之八点五以上百分之十以下的罚款。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116</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未取得施工许可证或者为规避办理施工许可证将工程项目分解后擅自施工</w:t>
            </w:r>
          </w:p>
        </w:tc>
        <w:tc>
          <w:tcPr>
            <w:tcW w:w="1128" w:type="dxa"/>
            <w:gridSpan w:val="2"/>
            <w:vMerge w:val="restart"/>
            <w:tcBorders>
              <w:tl2br w:val="nil"/>
              <w:tr2bl w:val="nil"/>
            </w:tcBorders>
            <w:vAlign w:val="center"/>
          </w:tcPr>
          <w:p>
            <w:pPr>
              <w:tabs>
                <w:tab w:val="left" w:pos="1560"/>
              </w:tabs>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《建筑工程施工许可管理办法》第三条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第十二条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对于未取得施工许可证或者为规避办理施工许可证将工程项目分解后擅自施工的，由有管辖权的发证机关责令停止施工，限期改正，对建设单位处工程合同价款1%以上2%以下罚款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对施工单位处3万元以下罚款。</w:t>
            </w:r>
          </w:p>
          <w:p>
            <w:pPr>
              <w:spacing w:line="240" w:lineRule="auto"/>
              <w:ind w:firstLine="21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第十五条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依照本办法规定，给予单位罚款处罚的，对单位直接负责的主管人员和其他直接责任人员处单位罚款数额5%以上10%以下罚款。</w:t>
            </w:r>
          </w:p>
          <w:p>
            <w:pPr>
              <w:spacing w:line="240" w:lineRule="auto"/>
              <w:ind w:firstLine="21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限期改正，</w:t>
            </w:r>
            <w:r>
              <w:rPr>
                <w:rFonts w:ascii="仿宋_GB2312" w:hAnsi="宋体" w:eastAsia="仿宋_GB2312"/>
                <w:color w:val="000000" w:themeColor="text1"/>
                <w:kern w:val="0"/>
                <w:szCs w:val="21"/>
                <w14:textFill>
                  <w14:solidFill>
                    <w14:schemeClr w14:val="tx1"/>
                  </w14:solidFill>
                </w14:textFill>
              </w:rPr>
              <w:t>对建设单位处工程合同价款</w:t>
            </w:r>
            <w:r>
              <w:rPr>
                <w:rFonts w:hint="eastAsia" w:ascii="仿宋_GB2312" w:hAnsi="宋体" w:eastAsia="仿宋_GB2312"/>
                <w:color w:val="000000" w:themeColor="text1"/>
                <w:kern w:val="0"/>
                <w:szCs w:val="21"/>
                <w14:textFill>
                  <w14:solidFill>
                    <w14:schemeClr w14:val="tx1"/>
                  </w14:solidFill>
                </w14:textFill>
              </w:rPr>
              <w:t>百分之一</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百分之一点二</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对施工单位处</w:t>
            </w:r>
            <w:r>
              <w:rPr>
                <w:rFonts w:hint="eastAsia" w:ascii="仿宋_GB2312" w:hAnsi="宋体" w:eastAsia="仿宋_GB2312"/>
                <w:color w:val="000000" w:themeColor="text1"/>
                <w:kern w:val="0"/>
                <w:szCs w:val="21"/>
                <w14:textFill>
                  <w14:solidFill>
                    <w14:schemeClr w14:val="tx1"/>
                  </w14:solidFill>
                </w14:textFill>
              </w:rPr>
              <w:t>1</w:t>
            </w:r>
            <w:r>
              <w:rPr>
                <w:rFonts w:ascii="仿宋_GB2312" w:hAnsi="宋体" w:eastAsia="仿宋_GB2312"/>
                <w:color w:val="000000" w:themeColor="text1"/>
                <w:kern w:val="0"/>
                <w:szCs w:val="21"/>
                <w14:textFill>
                  <w14:solidFill>
                    <w14:schemeClr w14:val="tx1"/>
                  </w14:solidFill>
                </w14:textFill>
              </w:rPr>
              <w:t>万元以</w:t>
            </w:r>
            <w:r>
              <w:rPr>
                <w:rFonts w:hint="eastAsia" w:ascii="仿宋_GB2312" w:hAnsi="宋体" w:eastAsia="仿宋_GB2312"/>
                <w:color w:val="000000" w:themeColor="text1"/>
                <w:kern w:val="0"/>
                <w:szCs w:val="21"/>
                <w14:textFill>
                  <w14:solidFill>
                    <w14:schemeClr w14:val="tx1"/>
                  </w14:solidFill>
                </w14:textFill>
              </w:rPr>
              <w:t>上1.5</w:t>
            </w:r>
            <w:r>
              <w:rPr>
                <w:rFonts w:ascii="仿宋_GB2312" w:hAnsi="宋体" w:eastAsia="仿宋_GB2312"/>
                <w:color w:val="000000" w:themeColor="text1"/>
                <w:kern w:val="0"/>
                <w:szCs w:val="21"/>
                <w14:textFill>
                  <w14:solidFill>
                    <w14:schemeClr w14:val="tx1"/>
                  </w14:solidFill>
                </w14:textFill>
              </w:rPr>
              <w:t>万元以下罚款罚款。对单位直接负责的主管人员和其他直接责任人员处单位罚款数额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非初次违法，造成一般危害后果的。</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限期改正，</w:t>
            </w:r>
            <w:r>
              <w:rPr>
                <w:rFonts w:ascii="仿宋_GB2312" w:hAnsi="宋体" w:eastAsia="仿宋_GB2312"/>
                <w:color w:val="000000" w:themeColor="text1"/>
                <w:kern w:val="0"/>
                <w:szCs w:val="21"/>
                <w14:textFill>
                  <w14:solidFill>
                    <w14:schemeClr w14:val="tx1"/>
                  </w14:solidFill>
                </w14:textFill>
              </w:rPr>
              <w:t>对建设单位处工程合同价款</w:t>
            </w:r>
            <w:r>
              <w:rPr>
                <w:rFonts w:hint="eastAsia" w:ascii="仿宋_GB2312" w:hAnsi="宋体" w:eastAsia="仿宋_GB2312"/>
                <w:color w:val="000000" w:themeColor="text1"/>
                <w:kern w:val="0"/>
                <w:szCs w:val="21"/>
                <w14:textFill>
                  <w14:solidFill>
                    <w14:schemeClr w14:val="tx1"/>
                  </w14:solidFill>
                </w14:textFill>
              </w:rPr>
              <w:t>百分之一点二</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百分之一点七</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对施工单位处</w:t>
            </w:r>
            <w:r>
              <w:rPr>
                <w:rFonts w:hint="eastAsia" w:ascii="仿宋_GB2312" w:hAnsi="宋体" w:eastAsia="仿宋_GB2312"/>
                <w:color w:val="000000" w:themeColor="text1"/>
                <w:kern w:val="0"/>
                <w:szCs w:val="21"/>
                <w14:textFill>
                  <w14:solidFill>
                    <w14:schemeClr w14:val="tx1"/>
                  </w14:solidFill>
                </w14:textFill>
              </w:rPr>
              <w:t>1.5</w:t>
            </w:r>
            <w:r>
              <w:rPr>
                <w:rFonts w:ascii="仿宋_GB2312" w:hAnsi="宋体" w:eastAsia="仿宋_GB2312"/>
                <w:color w:val="000000" w:themeColor="text1"/>
                <w:kern w:val="0"/>
                <w:szCs w:val="21"/>
                <w14:textFill>
                  <w14:solidFill>
                    <w14:schemeClr w14:val="tx1"/>
                  </w14:solidFill>
                </w14:textFill>
              </w:rPr>
              <w:t>万元以</w:t>
            </w:r>
            <w:r>
              <w:rPr>
                <w:rFonts w:hint="eastAsia" w:ascii="仿宋_GB2312" w:hAnsi="宋体" w:eastAsia="仿宋_GB2312"/>
                <w:color w:val="000000" w:themeColor="text1"/>
                <w:kern w:val="0"/>
                <w:szCs w:val="21"/>
                <w14:textFill>
                  <w14:solidFill>
                    <w14:schemeClr w14:val="tx1"/>
                  </w14:solidFill>
                </w14:textFill>
              </w:rPr>
              <w:t>上2</w:t>
            </w:r>
            <w:r>
              <w:rPr>
                <w:rFonts w:ascii="仿宋_GB2312" w:hAnsi="宋体" w:eastAsia="仿宋_GB2312"/>
                <w:color w:val="000000" w:themeColor="text1"/>
                <w:kern w:val="0"/>
                <w:szCs w:val="21"/>
                <w14:textFill>
                  <w14:solidFill>
                    <w14:schemeClr w14:val="tx1"/>
                  </w14:solidFill>
                </w14:textFill>
              </w:rPr>
              <w:t>万元以下罚款罚款。对单位直接负责的主管人员和其他直接责任人员处单位罚款数额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工程项目不符合发放施工许可或开工报告条件，无法补办施工许可证或开工报告的；其他情节恶劣，或造成严重后果的违法行为。</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限期改正，</w:t>
            </w:r>
            <w:r>
              <w:rPr>
                <w:rFonts w:ascii="仿宋_GB2312" w:hAnsi="宋体" w:eastAsia="仿宋_GB2312"/>
                <w:color w:val="000000" w:themeColor="text1"/>
                <w:kern w:val="0"/>
                <w:szCs w:val="21"/>
                <w14:textFill>
                  <w14:solidFill>
                    <w14:schemeClr w14:val="tx1"/>
                  </w14:solidFill>
                </w14:textFill>
              </w:rPr>
              <w:t>对建设单位处工程合同价款</w:t>
            </w:r>
            <w:r>
              <w:rPr>
                <w:rFonts w:hint="eastAsia" w:ascii="仿宋_GB2312" w:hAnsi="宋体" w:eastAsia="仿宋_GB2312"/>
                <w:color w:val="000000" w:themeColor="text1"/>
                <w:kern w:val="0"/>
                <w:szCs w:val="21"/>
                <w14:textFill>
                  <w14:solidFill>
                    <w14:schemeClr w14:val="tx1"/>
                  </w14:solidFill>
                </w14:textFill>
              </w:rPr>
              <w:t>百分之一点七</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百分之二</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对施工单位处</w:t>
            </w:r>
            <w:r>
              <w:rPr>
                <w:rFonts w:hint="eastAsia" w:ascii="仿宋_GB2312" w:hAnsi="宋体" w:eastAsia="仿宋_GB2312"/>
                <w:color w:val="000000" w:themeColor="text1"/>
                <w:kern w:val="0"/>
                <w:szCs w:val="21"/>
                <w14:textFill>
                  <w14:solidFill>
                    <w14:schemeClr w14:val="tx1"/>
                  </w14:solidFill>
                </w14:textFill>
              </w:rPr>
              <w:t>2</w:t>
            </w:r>
            <w:r>
              <w:rPr>
                <w:rFonts w:ascii="仿宋_GB2312" w:hAnsi="宋体" w:eastAsia="仿宋_GB2312"/>
                <w:color w:val="000000" w:themeColor="text1"/>
                <w:kern w:val="0"/>
                <w:szCs w:val="21"/>
                <w14:textFill>
                  <w14:solidFill>
                    <w14:schemeClr w14:val="tx1"/>
                  </w14:solidFill>
                </w14:textFill>
              </w:rPr>
              <w:t>万元以</w:t>
            </w:r>
            <w:r>
              <w:rPr>
                <w:rFonts w:hint="eastAsia" w:ascii="仿宋_GB2312" w:hAnsi="宋体" w:eastAsia="仿宋_GB2312"/>
                <w:color w:val="000000" w:themeColor="text1"/>
                <w:kern w:val="0"/>
                <w:szCs w:val="21"/>
                <w14:textFill>
                  <w14:solidFill>
                    <w14:schemeClr w14:val="tx1"/>
                  </w14:solidFill>
                </w14:textFill>
              </w:rPr>
              <w:t>上3</w:t>
            </w:r>
            <w:r>
              <w:rPr>
                <w:rFonts w:ascii="仿宋_GB2312" w:hAnsi="宋体" w:eastAsia="仿宋_GB2312"/>
                <w:color w:val="000000" w:themeColor="text1"/>
                <w:kern w:val="0"/>
                <w:szCs w:val="21"/>
                <w14:textFill>
                  <w14:solidFill>
                    <w14:schemeClr w14:val="tx1"/>
                  </w14:solidFill>
                </w14:textFill>
              </w:rPr>
              <w:t>万元以下罚款。对单位直接负责的主管人员和其他直接责任人员处单位罚款数额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百分之十</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117</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建设单位采用欺骗、贿赂等不正当手段取得施工许可证</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《建筑工程施工许可管理办法》第十一条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第十三条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建设单位采用欺骗、贿赂等不正当手段取得施工许可证的，由原发证机关撤销施工许可证，责令停止施工，并处1万元以上3万元以下罚款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构成犯罪的，依法追究刑事责任。</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第十五条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依照本办法规定，给予单位罚款处罚的，对单位直接负责的主管人员和其他直接责任人员处单位罚款数额5%以上10%以下罚款。</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撤销施工许可证，责令停止施工，</w:t>
            </w:r>
            <w:r>
              <w:rPr>
                <w:rFonts w:ascii="仿宋_GB2312" w:hAnsi="宋体" w:eastAsia="仿宋_GB2312"/>
                <w:color w:val="000000" w:themeColor="text1"/>
                <w:kern w:val="0"/>
                <w:szCs w:val="21"/>
                <w14:textFill>
                  <w14:solidFill>
                    <w14:schemeClr w14:val="tx1"/>
                  </w14:solidFill>
                </w14:textFill>
              </w:rPr>
              <w:t>处1万元以上</w:t>
            </w:r>
            <w:r>
              <w:rPr>
                <w:rFonts w:hint="eastAsia" w:ascii="仿宋_GB2312" w:hAnsi="宋体" w:eastAsia="仿宋_GB2312"/>
                <w:color w:val="000000" w:themeColor="text1"/>
                <w:kern w:val="0"/>
                <w:szCs w:val="21"/>
                <w14:textFill>
                  <w14:solidFill>
                    <w14:schemeClr w14:val="tx1"/>
                  </w14:solidFill>
                </w14:textFill>
              </w:rPr>
              <w:t>1.52</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撤销施工许可证，责令停止施工，</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1.5</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2.5</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（3）经有关部门确认，存在商业贿赂情形的；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撤销施工许可证，责令停止施工，</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2.5</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3</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 xml:space="preserve"> 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百分之十</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118</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建设单位隐瞒有关情况或者提供虚假材料申请施工许可证</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第十四条</w:t>
            </w:r>
            <w:r>
              <w:rPr>
                <w:rFonts w:hint="eastAsia" w:ascii="仿宋_GB2312" w:hAnsi="宋体" w:eastAsia="仿宋_GB2312"/>
                <w:color w:val="000000" w:themeColor="text1"/>
                <w:kern w:val="0"/>
                <w:szCs w:val="21"/>
                <w14:textFill>
                  <w14:solidFill>
                    <w14:schemeClr w14:val="tx1"/>
                  </w14:solidFill>
                </w14:textFill>
              </w:rPr>
              <w:t>第一款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第十四条</w:t>
            </w:r>
            <w:r>
              <w:rPr>
                <w:rFonts w:hint="eastAsia" w:ascii="仿宋_GB2312" w:hAnsi="宋体" w:eastAsia="仿宋_GB2312"/>
                <w:color w:val="000000" w:themeColor="text1"/>
                <w:kern w:val="0"/>
                <w:szCs w:val="21"/>
                <w14:textFill>
                  <w14:solidFill>
                    <w14:schemeClr w14:val="tx1"/>
                  </w14:solidFill>
                </w14:textFill>
              </w:rPr>
              <w:t>第一款</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建设单位隐瞒有关情况或者提供虚假材料申请施工许可证的，发证机关不予受理或者不予许可，并处1万元以上3万元以下罚款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构成犯罪的，依法追究刑事责任。</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第十五条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依照本办法规定，给予单位罚款处罚的，对单位直接负责的主管人员和其他直接责任人员处单位罚款数额5%以上10%以下罚款。</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不予受理或者不予许可，</w:t>
            </w:r>
            <w:r>
              <w:rPr>
                <w:rFonts w:ascii="仿宋_GB2312" w:hAnsi="宋体" w:eastAsia="仿宋_GB2312"/>
                <w:color w:val="000000" w:themeColor="text1"/>
                <w:kern w:val="0"/>
                <w:szCs w:val="21"/>
                <w14:textFill>
                  <w14:solidFill>
                    <w14:schemeClr w14:val="tx1"/>
                  </w14:solidFill>
                </w14:textFill>
              </w:rPr>
              <w:t>处1万元以上</w:t>
            </w:r>
            <w:r>
              <w:rPr>
                <w:rFonts w:hint="eastAsia" w:ascii="仿宋_GB2312" w:hAnsi="宋体" w:eastAsia="仿宋_GB2312"/>
                <w:color w:val="000000" w:themeColor="text1"/>
                <w:kern w:val="0"/>
                <w:szCs w:val="21"/>
                <w14:textFill>
                  <w14:solidFill>
                    <w14:schemeClr w14:val="tx1"/>
                  </w14:solidFill>
                </w14:textFill>
              </w:rPr>
              <w:t>1.5</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不予受理或者不予许可，</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1.5</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2.5</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 xml:space="preserve"> 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（2）足以影响建设市场秩序和社会稳定的。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不予受理或者不予许可，</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2.5</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3</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 xml:space="preserve"> 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百分之十</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119</w:t>
            </w:r>
          </w:p>
        </w:tc>
        <w:tc>
          <w:tcPr>
            <w:tcW w:w="1376"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建设单位伪造或者涂改施工许可证</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《建筑工程施工许可管理办法》第七条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第十四条</w:t>
            </w:r>
            <w:r>
              <w:rPr>
                <w:rFonts w:hint="eastAsia" w:ascii="仿宋_GB2312" w:hAnsi="宋体" w:eastAsia="仿宋_GB2312"/>
                <w:color w:val="000000" w:themeColor="text1"/>
                <w:kern w:val="0"/>
                <w:szCs w:val="21"/>
                <w14:textFill>
                  <w14:solidFill>
                    <w14:schemeClr w14:val="tx1"/>
                  </w14:solidFill>
                </w14:textFill>
              </w:rPr>
              <w:t>第二款</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建设单位伪造或者涂改施工许可证的，由发证机关责令停止施工，并处1万元以上3万元以下罚款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构成犯罪的，依法追究刑事责任。</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第十五条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依照本办法规定，给予单位罚款处罚的，对单位直接负责的主管人员和其他直接责任人员处单位罚款数额5%以上10%以下罚款。</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责令停止施工，并</w:t>
            </w:r>
            <w:r>
              <w:rPr>
                <w:rFonts w:ascii="仿宋_GB2312" w:hAnsi="宋体" w:eastAsia="仿宋_GB2312"/>
                <w:color w:val="000000" w:themeColor="text1"/>
                <w:kern w:val="0"/>
                <w:szCs w:val="21"/>
                <w14:textFill>
                  <w14:solidFill>
                    <w14:schemeClr w14:val="tx1"/>
                  </w14:solidFill>
                </w14:textFill>
              </w:rPr>
              <w:t>处1万元以上</w:t>
            </w:r>
            <w:r>
              <w:rPr>
                <w:rFonts w:hint="eastAsia" w:ascii="仿宋_GB2312" w:hAnsi="宋体" w:eastAsia="仿宋_GB2312"/>
                <w:color w:val="000000" w:themeColor="text1"/>
                <w:kern w:val="0"/>
                <w:szCs w:val="21"/>
                <w14:textFill>
                  <w14:solidFill>
                    <w14:schemeClr w14:val="tx1"/>
                  </w14:solidFill>
                </w14:textFill>
              </w:rPr>
              <w:t>1.5</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责令停止施工，并</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1.5</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2.5</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 xml:space="preserve"> 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责令停止施工，并</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2.5</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3</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 xml:space="preserve"> 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百分之十</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120</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（一）未按规定的审查内容进行审查的；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（二）未按规定报告审查过程中发现的违法行为的</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《安徽省建设工程质量管理办法》第二十三条、二十四条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《安徽省建设工程质量管理办法》</w:t>
            </w:r>
            <w:r>
              <w:rPr>
                <w:rFonts w:ascii="仿宋_GB2312" w:hAnsi="宋体" w:eastAsia="仿宋_GB2312"/>
                <w:color w:val="000000" w:themeColor="text1"/>
                <w:kern w:val="0"/>
                <w:szCs w:val="21"/>
                <w14:textFill>
                  <w14:solidFill>
                    <w14:schemeClr w14:val="tx1"/>
                  </w14:solidFill>
                </w14:textFill>
              </w:rPr>
              <w:t>第五十四条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违反本办法规定，施工图审查机构有下列行为之一的，责令限期改正，处5000元以上3万元以下的罚款：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（一）未按规定的审查内容进行审查的；</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（二）未按规定报告审查过程中发现的违法行为的。</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《安徽省建设工程质量管理办法》</w:t>
            </w:r>
            <w:r>
              <w:rPr>
                <w:rFonts w:ascii="仿宋_GB2312" w:hAnsi="宋体" w:eastAsia="仿宋_GB2312"/>
                <w:color w:val="000000" w:themeColor="text1"/>
                <w:kern w:val="0"/>
                <w:szCs w:val="21"/>
                <w14:textFill>
                  <w14:solidFill>
                    <w14:schemeClr w14:val="tx1"/>
                  </w14:solidFill>
                </w14:textFill>
              </w:rPr>
              <w:t>第五十七条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依照本办法第五十四条、第五十五条、第五十六条规定，给予单位罚款处罚的，对单位直接负责的主管人员和其他直接责任人员处单位罚款数额5%以上10%以下的罚款</w:t>
            </w:r>
            <w:r>
              <w:rPr>
                <w:rFonts w:hint="eastAsia" w:ascii="仿宋_GB2312" w:hAnsi="宋体" w:eastAsia="仿宋_GB2312"/>
                <w:color w:val="000000" w:themeColor="text1"/>
                <w:kern w:val="0"/>
                <w:szCs w:val="21"/>
                <w14:textFill>
                  <w14:solidFill>
                    <w14:schemeClr w14:val="tx1"/>
                  </w14:solidFill>
                </w14:textFill>
              </w:rPr>
              <w:t>。</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初次违法，无危害后果或危害后果轻微，主动采取措施消除或减轻违法行为危害后果。</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责令限期改正</w:t>
            </w:r>
            <w:r>
              <w:rPr>
                <w:rFonts w:hint="eastAsia" w:ascii="仿宋_GB2312" w:hAnsi="宋体" w:eastAsia="仿宋_GB2312"/>
                <w:color w:val="000000" w:themeColor="text1"/>
                <w:kern w:val="0"/>
                <w:szCs w:val="21"/>
                <w14:textFill>
                  <w14:solidFill>
                    <w14:schemeClr w14:val="tx1"/>
                  </w14:solidFill>
                </w14:textFill>
              </w:rPr>
              <w:t>，处以5千元以上1万元以下的罚款；</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实施违法行为，造成不良社会影响或初次违法，未主动消除或减轻违法行为危害后果的。</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责令限期改正</w:t>
            </w:r>
            <w:r>
              <w:rPr>
                <w:rFonts w:hint="eastAsia" w:ascii="仿宋_GB2312" w:hAnsi="宋体" w:eastAsia="仿宋_GB2312"/>
                <w:color w:val="000000" w:themeColor="text1"/>
                <w:kern w:val="0"/>
                <w:szCs w:val="21"/>
                <w14:textFill>
                  <w14:solidFill>
                    <w14:schemeClr w14:val="tx1"/>
                  </w14:solidFill>
                </w14:textFill>
              </w:rPr>
              <w:t>，处以1万元以上2万元以下的罚款；</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百分之八</w:t>
            </w:r>
            <w:r>
              <w:rPr>
                <w:rFonts w:ascii="仿宋_GB2312" w:hAnsi="宋体" w:eastAsia="仿宋_GB2312"/>
                <w:color w:val="000000" w:themeColor="text1"/>
                <w:kern w:val="0"/>
                <w:szCs w:val="21"/>
                <w14:textFill>
                  <w14:solidFill>
                    <w14:schemeClr w14:val="tx1"/>
                  </w14:solidFill>
                </w14:textFill>
              </w:rPr>
              <w:t>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（1）造成质量、安全事故，或造成其他严重危害后果的；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（2）2年内2次及以上同类型违法；</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（3）足以影响建设市场秩序和社会稳定的；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（4）法律法规规定的其他应当从重处罚的情形。</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责令限期改正</w:t>
            </w:r>
            <w:r>
              <w:rPr>
                <w:rFonts w:hint="eastAsia" w:ascii="仿宋_GB2312" w:hAnsi="宋体" w:eastAsia="仿宋_GB2312"/>
                <w:color w:val="000000" w:themeColor="text1"/>
                <w:kern w:val="0"/>
                <w:szCs w:val="21"/>
                <w14:textFill>
                  <w14:solidFill>
                    <w14:schemeClr w14:val="tx1"/>
                  </w14:solidFill>
                </w14:textFill>
              </w:rPr>
              <w:t>，处以2万元以上3万元以下的罚款；</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百分之八</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百分之十</w:t>
            </w:r>
            <w:r>
              <w:rPr>
                <w:rFonts w:ascii="仿宋_GB2312" w:hAnsi="宋体" w:eastAsia="仿宋_GB2312"/>
                <w:color w:val="000000" w:themeColor="text1"/>
                <w:kern w:val="0"/>
                <w:szCs w:val="21"/>
                <w14:textFill>
                  <w14:solidFill>
                    <w14:schemeClr w14:val="tx1"/>
                  </w14:solidFill>
                </w14:textFill>
              </w:rPr>
              <w:t>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121</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（一）对施工单位不按照经审查合格的施工图设计文件施工或者有违反法律、法规、工程建设强制性标准和合同约定行为，未予以制止或者未报告的；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（二）对建设单位违反有关法律、法规和工程建设强制性标准的要求，未拒绝执行的；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（三）未按照规定及时进行工程检查、验收的</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《安徽省建设工程质量管理办法》第三十三条、三十四条、三十五条、三十六条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《安徽省建设工程质量管理办法》第五十五条         违反本办法规定，监理单位有下列行为之一的，责令限期改正，处5000元以上3万元以下的罚款：</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（一）对施工单位不按照经审查合格的施工图设计文件施工或者有违反法律、法规、工程建设强制性标准和合同约定行为，未予以制止或者未报告的；</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（二）对建设单位违反有关法律、法规和工程建设强制性标准的要求，未拒绝执行的；</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（三）未按照规定及时进行工程检查、验收的。</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《安徽省建设工程质量管理办法》</w:t>
            </w:r>
            <w:r>
              <w:rPr>
                <w:rFonts w:ascii="仿宋_GB2312" w:hAnsi="宋体" w:eastAsia="仿宋_GB2312"/>
                <w:color w:val="000000" w:themeColor="text1"/>
                <w:kern w:val="0"/>
                <w:szCs w:val="21"/>
                <w14:textFill>
                  <w14:solidFill>
                    <w14:schemeClr w14:val="tx1"/>
                  </w14:solidFill>
                </w14:textFill>
              </w:rPr>
              <w:t>第五十七条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依照本办法第五十四条、第五十五条、第五十六条规定，给予单位罚款处罚的，对单位直接负责的主管人员和其他直接责任人员处单位罚款数额5%以上10%以下的罚款</w:t>
            </w:r>
            <w:r>
              <w:rPr>
                <w:rFonts w:hint="eastAsia" w:ascii="仿宋_GB2312" w:hAnsi="宋体" w:eastAsia="仿宋_GB2312"/>
                <w:color w:val="000000" w:themeColor="text1"/>
                <w:kern w:val="0"/>
                <w:szCs w:val="21"/>
                <w14:textFill>
                  <w14:solidFill>
                    <w14:schemeClr w14:val="tx1"/>
                  </w14:solidFill>
                </w14:textFill>
              </w:rPr>
              <w:t>。</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责令限期改正</w:t>
            </w:r>
            <w:r>
              <w:rPr>
                <w:rFonts w:hint="eastAsia" w:ascii="仿宋_GB2312" w:hAnsi="宋体" w:eastAsia="仿宋_GB2312"/>
                <w:color w:val="000000" w:themeColor="text1"/>
                <w:kern w:val="0"/>
                <w:szCs w:val="21"/>
                <w14:textFill>
                  <w14:solidFill>
                    <w14:schemeClr w14:val="tx1"/>
                  </w14:solidFill>
                </w14:textFill>
              </w:rPr>
              <w:t>，处以5千元以上1万元以下的罚款；</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责令限期改正</w:t>
            </w:r>
            <w:r>
              <w:rPr>
                <w:rFonts w:hint="eastAsia" w:ascii="仿宋_GB2312" w:hAnsi="宋体" w:eastAsia="仿宋_GB2312"/>
                <w:color w:val="000000" w:themeColor="text1"/>
                <w:kern w:val="0"/>
                <w:szCs w:val="21"/>
                <w14:textFill>
                  <w14:solidFill>
                    <w14:schemeClr w14:val="tx1"/>
                  </w14:solidFill>
                </w14:textFill>
              </w:rPr>
              <w:t>，处以1万元以上2万元以下的罚款；</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百分之八</w:t>
            </w:r>
            <w:r>
              <w:rPr>
                <w:rFonts w:ascii="仿宋_GB2312" w:hAnsi="宋体" w:eastAsia="仿宋_GB2312"/>
                <w:color w:val="000000" w:themeColor="text1"/>
                <w:kern w:val="0"/>
                <w:szCs w:val="21"/>
                <w14:textFill>
                  <w14:solidFill>
                    <w14:schemeClr w14:val="tx1"/>
                  </w14:solidFill>
                </w14:textFill>
              </w:rPr>
              <w:t>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责令限期改正</w:t>
            </w:r>
            <w:r>
              <w:rPr>
                <w:rFonts w:hint="eastAsia" w:ascii="仿宋_GB2312" w:hAnsi="宋体" w:eastAsia="仿宋_GB2312"/>
                <w:color w:val="000000" w:themeColor="text1"/>
                <w:kern w:val="0"/>
                <w:szCs w:val="21"/>
                <w14:textFill>
                  <w14:solidFill>
                    <w14:schemeClr w14:val="tx1"/>
                  </w14:solidFill>
                </w14:textFill>
              </w:rPr>
              <w:t>，处以2万元以上3万元以下的罚款；</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百分之八</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百分之十</w:t>
            </w:r>
            <w:r>
              <w:rPr>
                <w:rFonts w:ascii="仿宋_GB2312" w:hAnsi="宋体" w:eastAsia="仿宋_GB2312"/>
                <w:color w:val="000000" w:themeColor="text1"/>
                <w:kern w:val="0"/>
                <w:szCs w:val="21"/>
                <w14:textFill>
                  <w14:solidFill>
                    <w14:schemeClr w14:val="tx1"/>
                  </w14:solidFill>
                </w14:textFill>
              </w:rPr>
              <w:t>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122</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（一）未取得相应资质承担工程质量检测业务的；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（二）以其他检测机构的名义承担工程质量检测业务的；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（三）允许其他单位或者个人以本单位的名义承担工程质量检测业务的；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（四）转让工程质量检测业务的；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（五）未按照法律、法规和有关标准进行工程质量检测或者鉴定的；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（六）未按照规定报告检测或者鉴定不合格事项的；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（七）伪造检测或者鉴定数据，出具虚假检测或者鉴定报告的；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（八）档案资料管理混乱，造成检测数据无法追溯的</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《安徽省建设工程质量管理办法》第三十八条、三十九条、四十条、四十一条、四十二条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《安徽省建设工程质量管理办法》</w:t>
            </w:r>
            <w:r>
              <w:rPr>
                <w:rFonts w:ascii="仿宋_GB2312" w:hAnsi="宋体" w:eastAsia="仿宋_GB2312"/>
                <w:color w:val="000000" w:themeColor="text1"/>
                <w:kern w:val="0"/>
                <w:szCs w:val="21"/>
                <w14:textFill>
                  <w14:solidFill>
                    <w14:schemeClr w14:val="tx1"/>
                  </w14:solidFill>
                </w14:textFill>
              </w:rPr>
              <w:t>第五十六条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违反本办法规定，检测机构有下列情形之一的，责令改正，处5000元以上3万元以下的罚款：</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（一）未取得相应资质承担工程质量检测业务的；</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（二）以其他检测机构的名义承担工程质量检测业务的；</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（三）允许其他单位或者个人以本单位的名义承担工程质量检测业务的；</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（四）转让工程质量检测业务的；</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（五）未按照法律、法规和有关标准进行工程质量检测或者鉴定的；</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（六）未按照规定报告检测或者鉴定不合格事项的；</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（七）伪造检测或者鉴定数据，出具虚假检测或者鉴定报告的；</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（八）档案资料管理混乱，造成检测数据无法追溯的</w:t>
            </w:r>
            <w:r>
              <w:rPr>
                <w:rFonts w:hint="eastAsia" w:ascii="仿宋_GB2312" w:hAnsi="宋体" w:eastAsia="仿宋_GB2312"/>
                <w:color w:val="000000" w:themeColor="text1"/>
                <w:kern w:val="0"/>
                <w:szCs w:val="21"/>
                <w14:textFill>
                  <w14:solidFill>
                    <w14:schemeClr w14:val="tx1"/>
                  </w14:solidFill>
                </w14:textFill>
              </w:rPr>
              <w:t>。</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《安徽省建设工程质量管理办法》</w:t>
            </w:r>
            <w:r>
              <w:rPr>
                <w:rFonts w:ascii="仿宋_GB2312" w:hAnsi="宋体" w:eastAsia="仿宋_GB2312"/>
                <w:color w:val="000000" w:themeColor="text1"/>
                <w:kern w:val="0"/>
                <w:szCs w:val="21"/>
                <w14:textFill>
                  <w14:solidFill>
                    <w14:schemeClr w14:val="tx1"/>
                  </w14:solidFill>
                </w14:textFill>
              </w:rPr>
              <w:t>第五十七条</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依照本办法第五十四条、第五十五条、第五十六条规定，给予单位罚款处罚的，对单位直接负责的主管人员和其他直接责任人员处单位罚款数额5%以上10%以下的罚款</w:t>
            </w:r>
            <w:r>
              <w:rPr>
                <w:rFonts w:hint="eastAsia" w:ascii="仿宋_GB2312" w:hAnsi="宋体" w:eastAsia="仿宋_GB2312"/>
                <w:color w:val="000000" w:themeColor="text1"/>
                <w:kern w:val="0"/>
                <w:szCs w:val="21"/>
                <w14:textFill>
                  <w14:solidFill>
                    <w14:schemeClr w14:val="tx1"/>
                  </w14:solidFill>
                </w14:textFill>
              </w:rPr>
              <w:t>。</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责令改正，处以5千元以上1万元以下的罚款；</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责令改正，处以1万元以上2万元以下的罚款；</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百分之八</w:t>
            </w:r>
            <w:r>
              <w:rPr>
                <w:rFonts w:ascii="仿宋_GB2312" w:hAnsi="宋体" w:eastAsia="仿宋_GB2312"/>
                <w:color w:val="000000" w:themeColor="text1"/>
                <w:kern w:val="0"/>
                <w:szCs w:val="21"/>
                <w14:textFill>
                  <w14:solidFill>
                    <w14:schemeClr w14:val="tx1"/>
                  </w14:solidFill>
                </w14:textFill>
              </w:rPr>
              <w:t>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责令改正，处以2万元以上3万元以下的罚款；</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百分之八</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百分之十</w:t>
            </w:r>
            <w:r>
              <w:rPr>
                <w:rFonts w:ascii="仿宋_GB2312" w:hAnsi="宋体" w:eastAsia="仿宋_GB2312"/>
                <w:color w:val="000000" w:themeColor="text1"/>
                <w:kern w:val="0"/>
                <w:szCs w:val="21"/>
                <w14:textFill>
                  <w14:solidFill>
                    <w14:schemeClr w14:val="tx1"/>
                  </w14:solidFill>
                </w14:textFill>
              </w:rPr>
              <w:t>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0"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123</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建设单位对勘察、设计、施工、工程监理等单位提出不符合安全生产法律、法规和强制性标准规定的要求</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《建设工程安全生产管理条例》第七条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《建设工程安全生产管理条例》第五十五条第(一)项</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建设单位有下列行为之一的，责令限期改正，处20万元以上50万元以下的罚款；造成重大安全事故，构成犯罪的，对直接责任人员，依照刑法有关规定追究刑事责任；造成损失的，依法承担赔偿责任：</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(一)对勘察、设计、施工、工程监理等单位提出不符合安全生产法律、法规和强制性标准规定的要求的；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责令限期改正，处20万元以上25万元以下的罚款。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401"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124</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建设单位将拆除工程发包给不具有相应资质等级的施工单位</w:t>
            </w:r>
          </w:p>
        </w:tc>
        <w:tc>
          <w:tcPr>
            <w:tcW w:w="1128" w:type="dxa"/>
            <w:gridSpan w:val="2"/>
            <w:vMerge w:val="restart"/>
            <w:tcBorders>
              <w:tl2br w:val="nil"/>
              <w:tr2bl w:val="nil"/>
            </w:tcBorders>
            <w:vAlign w:val="center"/>
          </w:tcPr>
          <w:p>
            <w:pPr>
              <w:spacing w:line="240" w:lineRule="auto"/>
              <w:jc w:val="left"/>
              <w:rPr>
                <w:rFonts w:ascii="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《建设工程安全生产管理条例》第十一条第一款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《建设工程安全生产管理条例》第五十五条第(三)项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建设单位有下列行为之一的，责令限期改正，处20万元以上50万元以下的罚款；造成重大安全事故，构成犯罪的，对直接责任人员，依照刑法有关规定追究刑事责任；造成损失的，依法承担赔偿责任：</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(三)将拆除工程发包给不具有相应资质等级的施工单位的。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责令限期改正，处20万元以上25万元以下的罚款。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125</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采用新结构、新材料、新工艺的建设工程和特殊结构的建设工程，设计单位未在设计中提出保障施工作业人员安全和预防生产安全事故的措施建议</w:t>
            </w:r>
          </w:p>
        </w:tc>
        <w:tc>
          <w:tcPr>
            <w:tcW w:w="1128" w:type="dxa"/>
            <w:gridSpan w:val="2"/>
            <w:vMerge w:val="restart"/>
            <w:tcBorders>
              <w:tl2br w:val="nil"/>
              <w:tr2bl w:val="nil"/>
            </w:tcBorders>
            <w:vAlign w:val="center"/>
          </w:tcPr>
          <w:p>
            <w:pPr>
              <w:spacing w:line="240" w:lineRule="auto"/>
              <w:jc w:val="left"/>
              <w:rPr>
                <w:rFonts w:ascii="宋体" w:hAnsi="宋体"/>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《建设工程安全生产管理条例》第十三条第三款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《建设工程安全生产管理条例》第五十六条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宋体" w:hAnsi="宋体" w:cs="宋体"/>
                <w:bCs/>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(二)采用新结构、新材料、新工艺的建设工程和特殊结构的建设工程，设计单位未在设计中提出保障施工作业人员安全和预防生产安全事故的措施建议的。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232" w:type="dxa"/>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责令限期改正，处25万元以上30万元以下的罚款；责令停业整顿30-60日。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4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232" w:type="dxa"/>
            <w:tcBorders>
              <w:tl2br w:val="nil"/>
              <w:tr2bl w:val="nil"/>
            </w:tcBorders>
            <w:vAlign w:val="center"/>
          </w:tcPr>
          <w:p>
            <w:pPr>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责令限期改正，处30万元的罚款；责令停业整顿30-60日。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责令限期改正，处30万元的罚款；责令停业整顿60-90日。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61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责令限期改正，处30万元的罚款；责令停业整顿90-180日。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300"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责令限期改正，处30万元的罚款；吊销资质证书。</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126</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工程监理单位未对施工组织设计中的安全技术措施或者专项施工方案进行审查且经责令限期改正逾期未改正的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《建设工程安全生产管理条例》第十四条第一款/《危险性较大的分部分项工程安全管理规定》第十一条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《建设工程安全生产管理条例》第五十七条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(一)未对施工组织设计中的安全技术措施或者专项施工方案进行审查的；</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《危险性较大的分部分项工程安全管理规定》第三十六条第一项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监理单位有下列行为之一的，依照《中华人民共和国安全生产法》《建设工程安全生产管理条例》对单位进行处罚；对直接负责的主管人员和其他直接责任人员处1000元以上5000元以下的罚款：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（一）总监理工程师未按照本规定审查危大工程专项施工方案的；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责令停业整顿，直至改正违法行为；对工程监理单位处10万元以上12万元以下的罚款；责令停业整顿，直至改正违法行为；对直接负责的主管人员和其他直接责任人员处1千元以上2千元以下的罚款。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责令停业整顿，直至改正违法行为；对工程监理单位处12万元以上25万元以下的罚款；责令停业整顿，直至改正违法行为；对直接负责的主管人员和其他直接责任人员处2千元以上3千元以下的罚款。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责令停业整顿30-60日；对工程监理单位处25万元以上30万元以下的罚款；对直接负责的主管人员和其他直接责任人员处3千元以上5千元以下的罚款。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6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责令停业整顿60-90日；对工程监理单位处30万元的罚款；对直接负责的主管人员和其他直接责任人员处5千元罚款。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责令停业整顿90-120日；对工程监理单位处30万元的罚款；对直接负责的主管人员和其他直接责任人员处5千元罚款。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14"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责令停业整顿120-180日；对工程监理单位处30万元的罚款；对直接负责的主管人员和其他直接责任人员处5千元罚款。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对工程监理单位处30万元的罚款，对直接负责的主管人员和其他直接责任人员处5千元罚款；降低资质等级。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99"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对工程监理单位处30万元的罚款，对直接负责的主管人员和其他直接责任人员处5千元罚款；吊销资质证书。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127</w:t>
            </w:r>
          </w:p>
        </w:tc>
        <w:tc>
          <w:tcPr>
            <w:tcW w:w="1376" w:type="dxa"/>
            <w:gridSpan w:val="2"/>
            <w:vMerge w:val="restart"/>
            <w:tcBorders>
              <w:tl2br w:val="nil"/>
              <w:tr2bl w:val="nil"/>
            </w:tcBorders>
            <w:vAlign w:val="center"/>
          </w:tcPr>
          <w:p>
            <w:pPr>
              <w:spacing w:line="240" w:lineRule="auto"/>
              <w:ind w:firstLine="315" w:firstLineChars="1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工程监理单位发现安全事故隐患未及时要求施工单位整改或者暂时停止施工且逾期未改正的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《建设工程安全生产管理条例》第十四条第二款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《建设工程安全生产管理条例》第五十七条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(二)发现安全事故隐患未及时要求施工单位整改或者暂时停止施工的；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责令停业整顿60-90日；处30万元的罚款。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责令停业整顿90-120日；处30万元的罚款。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责令停业整顿120-180日；处30万元的罚款。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128</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工程监理单位对施工单位拒不整改或者不停止施工，未及时向有关主管部门报告且经责令限期改正逾期未改正的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《建设工程安全生产管理条例》第十四条第二款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《建设工程安全生产管理条例》第五十七条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315" w:firstLineChars="1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(三)施工单位拒不整改或者不停止施工，未及时向有关主管部门报告的；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471"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责令停业整顿60-90日；处30万元的罚款。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责令停业整顿90-120日；处30万元的罚款。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5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责令停业整顿120-180日；处30万元的罚款。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428"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p>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129</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工程监理单位未依照法律、法规和工程建设强制性标准实施监理且逾期未改正的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《建设工程安全生产管理条例》第十四条第三款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《建设工程安全生产管理条例》第五十七条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宋体" w:cs="宋体"/>
                <w:bCs/>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(四)未依照法律、法规和工程建设强制性标准实施监理的。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442"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责令停业整顿60-90日；处30万元的罚款。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责令停业整顿90-120日；处30万元的罚款。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428"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责令停业整顿120-180日；处30万元的罚款。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556"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130</w:t>
            </w:r>
          </w:p>
        </w:tc>
        <w:tc>
          <w:tcPr>
            <w:tcW w:w="1376" w:type="dxa"/>
            <w:gridSpan w:val="2"/>
            <w:vMerge w:val="restart"/>
            <w:tcBorders>
              <w:tl2br w:val="nil"/>
              <w:tr2bl w:val="nil"/>
            </w:tcBorders>
            <w:vAlign w:val="center"/>
          </w:tcPr>
          <w:p>
            <w:pPr>
              <w:spacing w:line="240" w:lineRule="auto"/>
              <w:ind w:firstLine="210" w:firstLineChars="100"/>
              <w:jc w:val="left"/>
              <w:rPr>
                <w:rFonts w:asci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注册执业人员未执行法律、法规和工程建设强制性标准的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《建设工程安全生产管理条例》第五十八条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《建设工程安全生产管理条例》第五十八条</w:t>
            </w:r>
          </w:p>
          <w:p>
            <w:pPr>
              <w:spacing w:line="240" w:lineRule="auto"/>
              <w:ind w:firstLine="210" w:firstLineChars="100"/>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责令停止执业3个月以上1年以下。</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吊销执业资格证书，5年内不予注册。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131</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为建设工程提供机械设备和配件的单位，未按照安全施工要求配备齐全有效的保险、限位等安全设施和装置的处罚的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《建设工程安全生产管理条例》第十五条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《建设工程安全生产管理条例》第五十九条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before="100" w:beforeAutospacing="1" w:after="100" w:afterAutospacing="1"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责令限期改正，处合同价款1倍以上2倍以下罚款。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before="100" w:beforeAutospacing="1" w:after="100" w:afterAutospacing="1"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责令限期改正，处合同价款2倍以上3倍以下罚款。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责令限期改正，处合同价款3倍的罚款。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132</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出租单位出租未经安全性能检测或者经检测不合格的机械设备和施工机具及配件的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《建设工程安全生产管理条例》第十六条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违反本条例的规定，出租单位出租未经安全性能检测或者经检测不合格的机械设备和施工机具及配件的，责令停业整顿，并处5万元以上10万元以下的罚款；造成损失的，依法承担赔偿责任。</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before="100" w:beforeAutospacing="1" w:after="100" w:afterAutospacing="1"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责令停业整顿，直至改正违法行为，并处5万以上7万元以下罚款。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before="100" w:beforeAutospacing="1" w:after="100" w:afterAutospacing="1"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责令停业整顿，直至改正违法行为，并处7万元以上9万元以下罚款。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责令停业整顿，直至改正违法行为，并处9万元以上10万元以下罚款。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133</w:t>
            </w:r>
          </w:p>
        </w:tc>
        <w:tc>
          <w:tcPr>
            <w:tcW w:w="1376" w:type="dxa"/>
            <w:gridSpan w:val="2"/>
            <w:vMerge w:val="restart"/>
            <w:tcBorders>
              <w:tl2br w:val="nil"/>
              <w:tr2bl w:val="nil"/>
            </w:tcBorders>
            <w:vAlign w:val="center"/>
          </w:tcPr>
          <w:p>
            <w:pPr>
              <w:widowControl/>
              <w:shd w:val="clear" w:color="auto" w:fill="FFFFFF"/>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hd w:val="clear" w:color="auto" w:fill="FFFFFF"/>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施工起重机械和整体提升脚手架、模板等自升式架设设施安装、拆卸单位有下列行为之一的</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(一)未编制拆装方案、制定安全施工措施的；</w:t>
            </w:r>
          </w:p>
          <w:p>
            <w:pPr>
              <w:widowControl/>
              <w:shd w:val="clear" w:color="auto" w:fill="FFFFFF"/>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(二)未由专业技术人员现场监督的；</w:t>
            </w:r>
          </w:p>
          <w:p>
            <w:pPr>
              <w:widowControl/>
              <w:shd w:val="clear" w:color="auto" w:fill="FFFFFF"/>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(三)未出具自检合格证明或者出具虚假证明的；</w:t>
            </w:r>
          </w:p>
          <w:p>
            <w:pPr>
              <w:widowControl/>
              <w:shd w:val="clear" w:color="auto" w:fill="FFFFFF"/>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(四)未向施工单位进行安全使用说明，办理移交手续的。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《建设工程安全生产管理条例》第十七条第二款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《建设工程安全生产管理条例》第六十一条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(一)未编制拆装方案、制定安全施工措施的；</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(二)未由专业技术人员现场监督的；</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(三)未出具自检合格证明或者出具虚假证明的；</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(四)未向施工单位进行安全使用说明，办理移交手续的。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责令限期改正，处6万元以上8.5万元以下的罚款。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责令限期改正，处8.5万元以上10万元以下的罚款；责令停业整顿30-60日。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责令限期改正，处10万元的罚款；责令停业整顿60-90日。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07"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责令限期改正，处10万元的罚款；责令停业整顿90-120日。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责令限期改正，处10万元的罚款；责令停业整顿120-180日。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责令限期改正，处10万元的罚款；吊销资质证书。</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134</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施工单位未设立安全生产管理机构、配备专职安全生产管理人员或者分部分项工程施工时无专职安全生产管理人员现场监督</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《建设工程安全生产管理条例》第二十三条</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《中华人民共和国安全生产法》第九十四条第一项</w:t>
            </w:r>
          </w:p>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(一)未设立安全生产管理机构、配备专职安全生产管理人员或者分部分项工程施工时无专职安全生产管理人员现场监督的；</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《中华人民共和国安全生产法》第九十四条第一项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spacing w:line="240" w:lineRule="auto"/>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（一）未按照规定设置安全生产管理机构或者配备安全生产管理人员的；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经责令限期改正，限期内整改完毕的。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经责令限期改正，逾期未改正，尚未造成安全生产事故的。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责令停业整顿，直至改正违法行为；对生产经营单位处5万元以上10万元以下的罚款，对其直接负责的主管人员和其他直接责任人员处1万元以上2万元以下的罚款。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经责令限期改正，逾期未改正，造成安全生产事故的。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责令停业整顿，直至改正违法行为；对生产经营单位处10万元的罚款，对其直接负责的主管人员和其他直接责任人员处2万元罚款。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5"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135</w:t>
            </w:r>
          </w:p>
        </w:tc>
        <w:tc>
          <w:tcPr>
            <w:tcW w:w="1376" w:type="dxa"/>
            <w:gridSpan w:val="2"/>
            <w:vMerge w:val="restart"/>
            <w:tcBorders>
              <w:tl2br w:val="nil"/>
              <w:tr2bl w:val="nil"/>
            </w:tcBorders>
            <w:vAlign w:val="center"/>
          </w:tcPr>
          <w:p>
            <w:pPr>
              <w:spacing w:line="240" w:lineRule="auto"/>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施工单位的主要负责人、项目负责人、专职安全生产管理人员、作业人员或者特种作业人员，未经安全教育培训或者考核不合格即从事相关工作且</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《建设工程安全生产管理条例》第三十六条</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宋体" w:hAnsi="宋体"/>
                <w:bCs/>
                <w:color w:val="000000" w:themeColor="text1"/>
                <w:kern w:val="0"/>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《中华人民共和国安全生产法》第九十四条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(二)施工单位的主要负责人、项目负责人、专职安全生产管理人员、作业人员或者特种作业人员，未经安全教育培训或者经考核不合格即从事相关工作的；</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《中华人民共和国安全生产法》第九十四条</w:t>
            </w:r>
          </w:p>
          <w:p>
            <w:pPr>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（二）危险物品的生产、经营、储存单位以及矿山、金属冶炼、建筑施工、道路运输单位的主要负责人和安全生产管理人员未按照规定经考核合格的；</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（三）未按照规定对从业人员、被派遣劳动者、实习学生进行安全生产教育和培训，或者未按照规定如实告知有关的安全生产事项的；</w:t>
            </w:r>
          </w:p>
          <w:p>
            <w:pPr>
              <w:spacing w:line="240" w:lineRule="auto"/>
              <w:jc w:val="left"/>
              <w:rPr>
                <w:rFonts w:ascii="宋体" w:hAnsi="宋体"/>
                <w:color w:val="000000" w:themeColor="text1"/>
                <w:kern w:val="0"/>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（七）特种作业人员未按照规定经专门的安全作业培训并取得相应资格，上岗作业的。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经责令限期改正，限期内整改完毕的。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9"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经责令限期改正，逾期未改正，尚未造成安全生产事故的。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责令停业整顿，对生产经营单位处5万元以上8.5万元以下的罚款，对其直接负责的主管人员和其他直接责任人员并处1万元以上1.5万元以下的罚款。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经责令限期改正，逾期未改正，造成安全生产事故的。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责令停业整顿，对生产经营单位处8.5万元以上10万元以下的罚款，对其直接负责的主管人员和其他直接责任人员并处1.5万元以上2万元以下的罚款。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422"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136</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宋体" w:hAnsi="宋体"/>
                <w:color w:val="000000" w:themeColor="text1"/>
                <w:kern w:val="0"/>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施工单位未在施工现场的危险部位设置明显的安全警示标志，或者未按照国家有关规定在施工现场设置消防通道、消防水源，配备消防设施和灭火器材</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《建设工程安全生产管理条例》第二十八条</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宋体" w:hAnsi="宋体"/>
                <w:color w:val="000000" w:themeColor="text1"/>
                <w:kern w:val="0"/>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《中华人民共和国安全生产法》第九十六条第一项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《建设工程安全生产管理条例》第六十二条</w:t>
            </w:r>
            <w:r>
              <w:rPr>
                <w:rFonts w:ascii="仿宋_GB2312" w:hAnsi="宋体" w:eastAsia="仿宋_GB2312"/>
                <w:color w:val="000000" w:themeColor="text1"/>
                <w:kern w:val="0"/>
                <w:szCs w:val="21"/>
                <w14:textFill>
                  <w14:solidFill>
                    <w14:schemeClr w14:val="tx1"/>
                  </w14:solidFill>
                </w14:textFill>
              </w:rPr>
              <w:t>第三项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(三)未在施工现场的危险部位设置明显的安全警示标志，或者未按照国家有关规定在施工现场设置消防通道、消防水源、配备消防设施和灭火器材的；</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《中华人民共和国安全生产法》第九十六条第一项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（一）未在有较大危险因素的生产经营场所和有关设施、设备上设置明显的安全警示标志的；</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（二）安全设备的安装、使用、检测、改造和报废不符合国家标准或者行业标准的；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经责令限期改正，限期内整改完毕的。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9"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经责令限期改正，逾期未改正，不涉及危险性较大分部分项工程，且尚未造成安全生产事故的。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对生产经营单位处5万元以上10万元以下的罚款；对其直接负责的主管人员和其他直接责任人员处1万元以上1.2万元以下的罚款。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23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（1）经责令限期改正，逾期未改正，涉及危险性较大分部分项工程，且尚未造成安全生产事故的。</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对生产经营单位处10万元以上20万元以下的罚款；对其直接负责的主管人员和其他直接责任人员处1.2万元以上2万元以下的罚款。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8"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（2）经责令限期改正，逾期未改正，涉及危险性较大分部分项工程，且造成安全生产事故的。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对生产经营单位处20万元的罚款；责令停业整顿，直至改正违法行为，对其直接负责的主管人员和其他直接责任人员处2万元罚款。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8"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137</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施工单位未向作业人员提供安全防护用具和安全防护服装</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《建设工程安全生产管理条例》第三十二条</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《中华人民共和国安全生产法》第九十六条</w:t>
            </w:r>
          </w:p>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《建设工程安全生产管理条例》第六十二条</w:t>
            </w:r>
            <w:r>
              <w:rPr>
                <w:rFonts w:ascii="仿宋_GB2312" w:hAnsi="宋体" w:eastAsia="仿宋_GB2312"/>
                <w:color w:val="000000" w:themeColor="text1"/>
                <w:kern w:val="0"/>
                <w:szCs w:val="21"/>
                <w14:textFill>
                  <w14:solidFill>
                    <w14:schemeClr w14:val="tx1"/>
                  </w14:solidFill>
                </w14:textFill>
              </w:rPr>
              <w:t>第四项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(四)未向作业人员提供安全防护用具和安全防护服装的；</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《中华人民共和国安全生产法》第九十六条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（四）未为从业人员提供符合国家标准或者行业标准的劳动防护用品的；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经责令限期改正，限期内整改完毕的。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9"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经责令限期改正，逾期未改正，不涉及危险性较大分部分项工程，且尚未造成安全生产事故的。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对生产经营单位处5万元以上10万元以下的罚款；对其直接负责的主管人员和其他直接责任人员处1万元以上1.2万元以下的罚款。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（1）经责令限期改正，逾期未改正，涉及危险性较大分部分项工程，且尚未造成安全生产事故的。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对生产经营单位处10万元以上20万元以下的罚款；对其直接负责的主管人员和其他直接责任人员处1.2万元以上2万元以下的罚款。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0"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（2）经责令限期改正，逾期未改正，涉及危险性较大分部分项工程，且造成安全生产事故的。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对生产经营单位处20万元的罚款；责令停业整顿，直至改正违法行为，对其直接负责的主管人员和其他直接责任人员处2万元罚款。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138</w:t>
            </w:r>
          </w:p>
        </w:tc>
        <w:tc>
          <w:tcPr>
            <w:tcW w:w="1376" w:type="dxa"/>
            <w:gridSpan w:val="2"/>
            <w:vMerge w:val="restart"/>
            <w:tcBorders>
              <w:tl2br w:val="nil"/>
              <w:tr2bl w:val="nil"/>
            </w:tcBorders>
            <w:vAlign w:val="center"/>
          </w:tcPr>
          <w:p>
            <w:pPr>
              <w:widowControl/>
              <w:spacing w:line="240" w:lineRule="auto"/>
              <w:ind w:firstLine="315" w:firstLineChars="15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315" w:firstLineChars="1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施工单位未按照规定在施工起重机械和整体提升脚手架、模板等自升式架设设施验收合格后登记</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《建设工程安全生产管理条例》第三十五条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五</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(五)未按照规定在施工起重机械和整体提升脚手架、模板等自升式架设设施验收合格后登记的；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1台施工起重机械和整体提升脚手架、模板等自升式架设设施验收合格后未登记的。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责令停业整顿，可以并处1.5万元以下的罚款。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2台施工起重机械和整体提升脚手架、模板等自升式架设设施验收合格后未登记的。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责令停业整顿，并处1.5万元以上3.5万元以下的罚款。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3台以上施工起重机械和整体提升脚手架、模板等自升式架设设施验收合格后未登记或发生安全事故的。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责令停业整顿，并处3.5万元以上5万元以下的罚款。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139</w:t>
            </w:r>
          </w:p>
        </w:tc>
        <w:tc>
          <w:tcPr>
            <w:tcW w:w="1376" w:type="dxa"/>
            <w:gridSpan w:val="2"/>
            <w:vMerge w:val="restart"/>
            <w:tcBorders>
              <w:tl2br w:val="nil"/>
              <w:tr2bl w:val="nil"/>
            </w:tcBorders>
            <w:vAlign w:val="center"/>
          </w:tcPr>
          <w:p>
            <w:pPr>
              <w:widowControl/>
              <w:spacing w:line="240" w:lineRule="auto"/>
              <w:ind w:firstLine="315" w:firstLineChars="15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315" w:firstLineChars="1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施工单位使用国家明令淘汰、禁止使用的危及施工安全的工艺、设备、材料</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《建设工程安全生产管理条例》第四十五条</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《中华人民共和国安全生产法》第九十六条第六项</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《建设工程安全生产管理条例》第六十二条第（六）项</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(六)使用国家明令淘汰、禁止使用的危及施工安全的工艺、设备、材料的。</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《中华人民共和国安全生产法》第九十六条第六项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（六）使用应当淘汰的危及生产安全的工艺、设备的。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经责令限期改正，限期内改正完毕的。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逾期未改正，不涉及危险性较大分部分项工程，且尚未造成生产安全事故的。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对生产经营单位处5万元以上10万元以下的罚款；对其直接负责的主管人员和其他直接责任人员处1万元以上1.2万元以下的罚款。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（1）逾期未改正，涉及危险性较大分部分项工程，且尚未造成生产安全事故的。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对生产经营单位处10万元以上20万元以下的罚款；对其直接负责的主管人员和其他直接责任人员处1.2万元以上2万元以下的罚款。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（2）逾期未改正，涉及超规模危险性较大分部分项工程，或逾期未改正且造成生产安全事故。</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对生产经营单位处20万元的罚款；责令停业整顿，直至改正违法行为，对其直接负责的主管人员和其他直接责任人员处2万元罚款。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140</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施工单位挪用列入建设工程概算的安全生产作业环境及安全施工措施所需费用的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《建设工程安全生产管理条例》第二十二条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《建设工程安全生产管理条例》第六十三条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违反本条例的规定，施工单位挪用列入建设工程概算的安全生产作业环境及安全施工措施所需费用的，责令限期改正，处挪用费用20%以上50%以下的罚款；造成损失的，依法承担赔偿责任。</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挪用费用占列入建设工程概算的安全生产作业环境及安全施工措施所需费用比例50%以下</w:t>
            </w:r>
            <w:r>
              <w:rPr>
                <w:rFonts w:ascii="仿宋_GB2312" w:hAnsi="宋体" w:eastAsia="仿宋_GB2312"/>
                <w:color w:val="000000" w:themeColor="text1"/>
                <w:kern w:val="0"/>
                <w:szCs w:val="21"/>
                <w14:textFill>
                  <w14:solidFill>
                    <w14:schemeClr w14:val="tx1"/>
                  </w14:solidFill>
                </w14:textFill>
              </w:rPr>
              <w:t>的</w:t>
            </w:r>
            <w:r>
              <w:rPr>
                <w:rFonts w:hint="eastAsia" w:ascii="仿宋_GB2312" w:hAnsi="宋体" w:eastAsia="仿宋_GB2312"/>
                <w:color w:val="000000" w:themeColor="text1"/>
                <w:kern w:val="0"/>
                <w:szCs w:val="21"/>
                <w14:textFill>
                  <w14:solidFill>
                    <w14:schemeClr w14:val="tx1"/>
                  </w14:solidFill>
                </w14:textFill>
              </w:rPr>
              <w:t>。</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责令限期改正，处挪用费用百分之二十以上百分之二十五以下的罚款。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挪用费用占列入建设工程概算的安全生产作业环境及安全施工措施所需费用比例50%以上75%以内的。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责令限期改正，处挪用费用百分之二十五以上百分之四十以下的罚款。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挪用费用占列入建设工程概算的安全生产作业环境及安全施工措施所需费用比例75%以上或造成安全事故的。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责令限期改正，处挪用费用百分之四十以上百分之五十以下的罚款。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141</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施工单位施工前未对有关安全施工的技术要求作出详细说明且逾期未改正的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《建设工程安全生产管理条例》第二十七条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《建设工程安全生产管理条例》第六十四条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5万元以上10万元以下的罚款；造成重大安全事故，构成犯罪的，对直接责任人员，依照刑法有关规定追究刑事责任：</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(一)施工前未对有关安全施工的技术要求作出详细说明的；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不涉及危险性较大分部分项工程，且尚未造成生产安全事故的。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涉及危险性较大分部分项工程，且尚未造成生产安全事故的。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发生安全事故的涉及超规模危险性较大分部分项工程，或造成生产安全事故。</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责令停业整顿，直至改正违法行为；处8万元以上10万元以下的罚款。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8"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142</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施工单位未根据不同施工阶段和周围环境及季节、气候的变化，在施工现场采取相应的安全施工措施，或者在城市市区内的建设工程的施工现场未实行封闭围挡且逾期未改正的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《建设工程安全生产管理条例》第二十八条第二款/第三十条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《建设工程安全生产管理条例》第六十四条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5万元以上10万元以下的罚款；造成重大安全事故，构成犯罪的，对直接责任人员，依照刑法有关规定追究刑事责任：</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(二)未根据不同施工阶段和周围环境及季节、气候的变化，在施工现场采取相应的安全施工措施，或者在城市市区内的建设工程的施工现场未实行封闭围挡的；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2"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责令停业整顿，直至改正违法行为；处8万以上10万元以下的罚款。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884"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143</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施工单位在尚未竣工的建筑物内设置员工集体宿舍且逾期未改正的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《建设工程安全生产管理条例》第二十九条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《建设工程安全生产管理条例》第六十四条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5万元以上10万元以下的罚款；造成重大安全事故，构成犯罪的，对直接责任人员，依照刑法有关规定追究刑事责任：</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(三)在尚未竣工的建筑物内设置员工集体宿舍的；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员工宿舍住宿人数在3人以下的。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员工宿舍住宿人数在3人以上10人以下的。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员工宿舍住宿人数在10人以上的，或造成生产安全事故的。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责令停业整顿，直至改正违法行为；处8万以上10万元以下的罚款。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144</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施工现场临时搭建的建筑物不符合安全使用要求且逾期未改正的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《建设工程安全生产管理条例》第二十九条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《建设工程安全生产管理条例》第六十四条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(四)施工现场临时搭建的建筑物不符合安全使用要求的；</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施工单位有前款规定行为，造成损失的，依法承担赔偿责任。</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责令停业整顿，直至改正违法行为；处8万以上10万元以下的罚款。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145</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施工单位未对因建设工程施工可能造成损害的毗邻建筑物、构筑物和地下管线等采取专项防护措施且逾期未改正的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《建设工程安全生产管理条例》第三十条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《建设工程安全生产管理条例》第六十四条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五</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5万元以上10万元以下的罚款；造成重大安全事故，构成犯罪的，对直接责任人员，依照刑法有关规定追究刑事责任：</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(五)未对因建设工程施工可能造成损害的毗邻建筑物、构筑物和地下管线等采取专项防护措施的。</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施工单位有前款规定行为，造成损失的，依法承担赔偿责任。</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责令停业整顿，直至改正违法行为；处8万以上10万元以下的罚款。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146</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施工单位安全防护用具、机械设备、施工机具及配件在进入施工现场前未经查验或者查验不合格即投入使用且逾期未改正的</w:t>
            </w:r>
          </w:p>
        </w:tc>
        <w:tc>
          <w:tcPr>
            <w:tcW w:w="1128"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《建设工程安全生产管理条例》第三十四条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《建设工程安全生产管理条例》第六十五条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(一)安全防护用具、机械设备、施工机具及配件在进入施工现场前未经查验或者查验不合格即投入使用的；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未造成后果或后果轻微的。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4"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造成危害后果但尚未造成安全生产事故的。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556"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责令停业整顿60-90日；处30万元的罚款。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421"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394"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147</w:t>
            </w:r>
          </w:p>
        </w:tc>
        <w:tc>
          <w:tcPr>
            <w:tcW w:w="1376"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施工单位使用未经验收或者验收不合格的施工起重机械和整体提升脚手架、模板等自升式架设设施且逾期未改正的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《建设工程安全生产管理条例》第三十五条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《建设工程安全生产管理条例》第六十五条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(二)使用未经验收或者验收不合格的施工起重机械和整体提升脚手架、模板等自升式架设设施的；</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未造成后果或后果轻微的。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造成危害后果但尚未造成安全生产事故的。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责令停业整顿60-90日；处30万元的罚款。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148</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施工单位委托不具有相应资质的单位承担施工现场安装、拆卸施工起重机械和整体提升脚手架、模板等自升式架设设施且逾期未改正的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《建设工程安全生产管理条例》第十七条第一款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《建设工程安全生产管理条例》第六十五条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(三)委托不具有相应资质的单位承担施工现场安装、拆卸施工起重机械和整体提升脚手架、模板等自升式架设设施的；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未造成后果或后果轻微的。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造成危害后果但尚未造成安全生产事故的。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58"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责令停业整顿60-90日；处30万元的罚款。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489"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9"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032"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149</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施工单位在施工组织设计中未编制安全技术措施、施工现场临时用电方案或者专项施工方案且逾期未改正的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《建设工程安全生产管理条例》第二十六条/《危险性较大的分部分项工程安全管理规定》第十条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《建设工程安全生产管理条例》第六十五条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hint="eastAsia" w:ascii="仿宋_GB2312" w:hAnsi="宋体" w:eastAsia="仿宋_GB2312"/>
                <w:color w:val="000000" w:themeColor="text1"/>
                <w:kern w:val="0"/>
                <w:szCs w:val="21"/>
                <w14:textFill>
                  <w14:solidFill>
                    <w14:schemeClr w14:val="tx1"/>
                  </w14:solidFill>
                </w14:textFill>
              </w:rPr>
              <w:br w:type="textWrapping"/>
            </w:r>
            <w:r>
              <w:rPr>
                <w:rFonts w:hint="eastAsia" w:ascii="仿宋_GB2312" w:hAnsi="宋体" w:eastAsia="仿宋_GB2312"/>
                <w:color w:val="000000" w:themeColor="text1"/>
                <w:kern w:val="0"/>
                <w:szCs w:val="21"/>
                <w14:textFill>
                  <w14:solidFill>
                    <w14:schemeClr w14:val="tx1"/>
                  </w14:solidFill>
                </w14:textFill>
              </w:rPr>
              <w:t>(四)在施工组织设计中未编制安全技术措施、施工现场临时用电方案或者专项施工方案的。</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《危险性较大的分部分项工程安全管理规定》第三十二条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按照本规定编制并审核危大工程专项施工方案的，依照《建设工程安全生产管理条例》对单位进行处罚，并暂扣安全生产许可证30日；对直接负责的主管人员和其他直接责任人员处1000元以上5000元以下的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责令停业整顿，直至改正违法行为；处10万元以上12万元以下的罚款；暂扣安全生产许可证30日；对直接负责的主管人员和其他直接责任人员处1千元以上2千元以下的罚款。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涉及超过规定规模的危险性较大分部分项工程。</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责令停业整顿，直至改正违法行为；处12万元以上25万元以下的罚款；暂扣安全生产许可证30日；对直接负责的主管人员和其他直接责任人员处2千元以上3千元以下的罚款。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责令停业整顿30-60日；处25万元以上30万元以下的罚款；暂扣安全生产许可证30日；对直接负责的主管人员和其他直接责任人员处3千元以上5千元以下的罚款。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责令停业整顿30-60日；处30万元的罚款；暂扣安全生产许可证30日；对直接负责的主管人员和其他直接责任人员处5千元罚款。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责令停业整顿60-90日；处30万元的罚款；暂扣安全生产许可证30日；对直接负责的主管人员和其他直接责任人员处5千元罚款。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责令停业整顿90-180日；处30万元的罚款；暂扣安全生产许可证30日；暂扣安全生产许可证30日；对直接负责的主管人员和其他直接责任人员处5千元罚款。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处30万元的罚款；降低资质等级；暂扣安全生产许可证30日；对直接负责的主管人员和其他直接责任人员处5000元罚款。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处30万元的罚款；吊销资质证书；暂扣安全生产许可证30日；对直接负责的主管人员和其他直接责任人员处5000元罚款。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150</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施工单位的主要负责人、项目负责人未履行安全生产管理职责，责令限期改正逾期未改正的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《建设工程安全生产管理条例》第二十一条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《建设工程安全生产管理条例》第六十六条第三款</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作业人员不服管理、违反规章制度和操作规程冒险作业造成重大伤亡事故或者其他严重后果，构成犯罪的，依照刑法有关规定追究刑事责任。</w:t>
            </w:r>
          </w:p>
          <w:p>
            <w:pPr>
              <w:widowControl/>
              <w:spacing w:before="100" w:beforeAutospacing="1" w:after="100" w:afterAutospacing="1"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尚未造成危害后果。</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责令停业整顿，直至改正违法行为；对施工单位的主要负责人、项目负责人处2万元以上6万元以下的罚款。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1"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造成一般危害后果。</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责令停业整顿，直至改正违法行为；施工单位的主要负责人、项目负责人处6万元以上15万元以下的罚款。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造成严重危害后果。</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施工单位的主要负责人、项目负责人处15万元以上20万元以下的罚款，构成犯罪的，施工单位的主要负责人、项目负责人自刑罚执行完毕或者受处分之日起，5年内不得担任任何施工单位的主要负责人、项目负责人。</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151</w:t>
            </w:r>
          </w:p>
        </w:tc>
        <w:tc>
          <w:tcPr>
            <w:tcW w:w="1376"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施工单位取得资质证书后，降低安全生产条件且经整改仍未达到与其资质等级相适应的安全生产条件的，责令限期改正的</w:t>
            </w:r>
          </w:p>
        </w:tc>
        <w:tc>
          <w:tcPr>
            <w:tcW w:w="1128" w:type="dxa"/>
            <w:gridSpan w:val="2"/>
            <w:vMerge w:val="restart"/>
            <w:tcBorders>
              <w:tl2br w:val="nil"/>
              <w:tr2bl w:val="nil"/>
            </w:tcBorders>
            <w:vAlign w:val="center"/>
          </w:tcPr>
          <w:p>
            <w:pPr>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《建设工程安全生产管理条例》第六十七条</w:t>
            </w:r>
          </w:p>
        </w:tc>
        <w:tc>
          <w:tcPr>
            <w:tcW w:w="4354" w:type="dxa"/>
            <w:gridSpan w:val="4"/>
            <w:vMerge w:val="restart"/>
            <w:tcBorders>
              <w:tl2br w:val="nil"/>
              <w:tr2bl w:val="nil"/>
            </w:tcBorders>
            <w:vAlign w:val="center"/>
          </w:tcPr>
          <w:p>
            <w:pPr>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《建设工程安全生产管理条例》第六十七条</w:t>
            </w:r>
          </w:p>
          <w:p>
            <w:pPr>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施工单位取得资质证书后，降低安全生产条件的，责令限期改正；经整改仍未达到与其资质等级相适应的安全生产条件的，责令停业整顿，降低其资质等级直至吊销资质证书。</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经整改未达到与其资质等级相适应的安全生产条件，但未造成安全生产事故的。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责令停业整顿，直至符合安全生产条件。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17"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59"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152</w:t>
            </w:r>
          </w:p>
        </w:tc>
        <w:tc>
          <w:tcPr>
            <w:tcW w:w="1376" w:type="dxa"/>
            <w:gridSpan w:val="2"/>
            <w:vMerge w:val="restart"/>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勘察、设计单位违反规定，未按照抗震设防专项审查意见进行超限高层建筑工程勘察、设计的</w:t>
            </w:r>
          </w:p>
        </w:tc>
        <w:tc>
          <w:tcPr>
            <w:tcW w:w="1128" w:type="dxa"/>
            <w:gridSpan w:val="2"/>
            <w:vMerge w:val="restart"/>
            <w:tcBorders>
              <w:tl2br w:val="nil"/>
              <w:tr2bl w:val="nil"/>
            </w:tcBorders>
            <w:vAlign w:val="center"/>
          </w:tcPr>
          <w:p>
            <w:pPr>
              <w:widowControl/>
              <w:spacing w:line="0" w:lineRule="atLeas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《超限高层建筑工程抗震设防管理规定》第十八条</w:t>
            </w:r>
          </w:p>
        </w:tc>
        <w:tc>
          <w:tcPr>
            <w:tcW w:w="4354" w:type="dxa"/>
            <w:gridSpan w:val="4"/>
            <w:vMerge w:val="restart"/>
            <w:tcBorders>
              <w:tl2br w:val="nil"/>
              <w:tr2bl w:val="nil"/>
            </w:tcBorders>
            <w:vAlign w:val="center"/>
          </w:tcPr>
          <w:p>
            <w:pPr>
              <w:widowControl/>
              <w:spacing w:line="0" w:lineRule="atLeas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《超限高层建筑工程抗震设防管理规定》第十八条</w:t>
            </w:r>
          </w:p>
          <w:p>
            <w:pPr>
              <w:widowControl/>
              <w:spacing w:line="0" w:lineRule="atLeas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勘察、设计单位违反本规定，未按照抗震设防专项审查意见进行超限高层建筑工程勘察、设计的，责令改正，处以1万元以上3万元以下的罚款；造成损失的，依法承担赔偿责任。</w:t>
            </w:r>
          </w:p>
        </w:tc>
        <w:tc>
          <w:tcPr>
            <w:tcW w:w="1101" w:type="dxa"/>
            <w:gridSpan w:val="3"/>
            <w:tcBorders>
              <w:tl2br w:val="nil"/>
              <w:tr2bl w:val="nil"/>
            </w:tcBorders>
            <w:vAlign w:val="center"/>
          </w:tcPr>
          <w:p>
            <w:pPr>
              <w:widowControl/>
              <w:spacing w:line="0" w:lineRule="atLeas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0" w:lineRule="atLeas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0" w:lineRule="atLeas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0" w:lineRule="atLeast"/>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0" w:lineRule="atLeas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093"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0" w:lineRule="atLeas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0" w:lineRule="atLeas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0" w:lineRule="atLeast"/>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0" w:lineRule="atLeas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0" w:lineRule="atLeas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(1)经责令改正后，拒不改正的；</w:t>
            </w:r>
          </w:p>
          <w:p>
            <w:pPr>
              <w:widowControl/>
              <w:spacing w:line="0" w:lineRule="atLeas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(2)曾因该违法行为被查处，再次实施违法行为的；</w:t>
            </w:r>
          </w:p>
          <w:p>
            <w:pPr>
              <w:widowControl/>
              <w:spacing w:line="0" w:lineRule="atLeas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232" w:type="dxa"/>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153</w:t>
            </w:r>
          </w:p>
        </w:tc>
        <w:tc>
          <w:tcPr>
            <w:tcW w:w="1376" w:type="dxa"/>
            <w:gridSpan w:val="2"/>
            <w:vMerge w:val="restart"/>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擅自采用没有工程建设标准又未经核准的新技术、新材料的</w:t>
            </w:r>
          </w:p>
        </w:tc>
        <w:tc>
          <w:tcPr>
            <w:tcW w:w="1128" w:type="dxa"/>
            <w:gridSpan w:val="2"/>
            <w:vMerge w:val="restart"/>
            <w:tcBorders>
              <w:tl2br w:val="nil"/>
              <w:tr2bl w:val="nil"/>
            </w:tcBorders>
            <w:vAlign w:val="center"/>
          </w:tcPr>
          <w:p>
            <w:pPr>
              <w:widowControl/>
              <w:spacing w:line="0" w:lineRule="atLeas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《市政公用设施抗灾设防管理规定》第三十一条</w:t>
            </w:r>
          </w:p>
        </w:tc>
        <w:tc>
          <w:tcPr>
            <w:tcW w:w="4354" w:type="dxa"/>
            <w:gridSpan w:val="4"/>
            <w:vMerge w:val="restart"/>
            <w:tcBorders>
              <w:tl2br w:val="nil"/>
              <w:tr2bl w:val="nil"/>
            </w:tcBorders>
            <w:vAlign w:val="center"/>
          </w:tcPr>
          <w:p>
            <w:pPr>
              <w:widowControl/>
              <w:spacing w:line="0" w:lineRule="atLeas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《市政公用设施抗灾设防管理规定》第三十一条</w:t>
            </w:r>
          </w:p>
          <w:p>
            <w:pPr>
              <w:widowControl/>
              <w:spacing w:line="0" w:lineRule="atLeas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违反本规定，擅自采用没有工程建设标准又未经核准的新技术、新材料的，由县级以上地方人民政府建设主管部门责令限期改正，并处以1万元以上3万元以下罚款。</w:t>
            </w:r>
          </w:p>
        </w:tc>
        <w:tc>
          <w:tcPr>
            <w:tcW w:w="1101" w:type="dxa"/>
            <w:gridSpan w:val="3"/>
            <w:tcBorders>
              <w:tl2br w:val="nil"/>
              <w:tr2bl w:val="nil"/>
            </w:tcBorders>
            <w:vAlign w:val="center"/>
          </w:tcPr>
          <w:p>
            <w:pPr>
              <w:widowControl/>
              <w:spacing w:line="0" w:lineRule="atLeas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0" w:lineRule="atLeas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0" w:lineRule="atLeas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0" w:lineRule="atLeast"/>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0" w:lineRule="atLeas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0" w:lineRule="atLeas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0" w:lineRule="atLeas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0" w:lineRule="atLeast"/>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0" w:lineRule="atLeas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(1)曾因该违法行为被查处，再次实施违法行为的；</w:t>
            </w:r>
          </w:p>
          <w:p>
            <w:pPr>
              <w:widowControl/>
              <w:spacing w:line="0" w:lineRule="atLeas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 责令限期改正，逾期拒不改正的；</w:t>
            </w:r>
          </w:p>
          <w:p>
            <w:pPr>
              <w:widowControl/>
              <w:spacing w:line="0" w:lineRule="atLeas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232" w:type="dxa"/>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041"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154</w:t>
            </w:r>
          </w:p>
        </w:tc>
        <w:tc>
          <w:tcPr>
            <w:tcW w:w="1376" w:type="dxa"/>
            <w:gridSpan w:val="2"/>
            <w:vMerge w:val="restart"/>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擅自变动或者破坏市政公用设施的防灾设施、抗震抗风构件、隔震或者振动控制装置、安全监测系统、健康监测系统、应急自动处置系统以及地震反应观测系统等设施的</w:t>
            </w:r>
          </w:p>
        </w:tc>
        <w:tc>
          <w:tcPr>
            <w:tcW w:w="1128" w:type="dxa"/>
            <w:gridSpan w:val="2"/>
            <w:vMerge w:val="restart"/>
            <w:tcBorders>
              <w:tl2br w:val="nil"/>
              <w:tr2bl w:val="nil"/>
            </w:tcBorders>
            <w:vAlign w:val="center"/>
          </w:tcPr>
          <w:p>
            <w:pPr>
              <w:widowControl/>
              <w:spacing w:line="0" w:lineRule="atLeas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《市政公用设施抗灾设防管理规定》第三十二条</w:t>
            </w:r>
          </w:p>
        </w:tc>
        <w:tc>
          <w:tcPr>
            <w:tcW w:w="4354" w:type="dxa"/>
            <w:gridSpan w:val="4"/>
            <w:vMerge w:val="restart"/>
            <w:tcBorders>
              <w:tl2br w:val="nil"/>
              <w:tr2bl w:val="nil"/>
            </w:tcBorders>
            <w:vAlign w:val="center"/>
          </w:tcPr>
          <w:p>
            <w:pPr>
              <w:widowControl/>
              <w:spacing w:line="0" w:lineRule="atLeas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《市政公用设施抗灾设防管理规定》第三十二条</w:t>
            </w:r>
          </w:p>
          <w:p>
            <w:pPr>
              <w:widowControl/>
              <w:spacing w:line="0" w:lineRule="atLeas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擅自变动或者破坏市政公用设施的防灾设施、抗震抗风构件、隔震或者振动控制装置、安全监测系统、健康监测系统、应急自动处置系统以及地震反应观测系统等设施的，由县级以上地方人民政府建设主管部门责令限期改正，并对个人处以1000元以下罚款，对单位处以1万元以上3万元以下罚款。</w:t>
            </w:r>
          </w:p>
        </w:tc>
        <w:tc>
          <w:tcPr>
            <w:tcW w:w="1101" w:type="dxa"/>
            <w:gridSpan w:val="3"/>
            <w:tcBorders>
              <w:tl2br w:val="nil"/>
              <w:tr2bl w:val="nil"/>
            </w:tcBorders>
            <w:vAlign w:val="center"/>
          </w:tcPr>
          <w:p>
            <w:pPr>
              <w:widowControl/>
              <w:spacing w:line="0" w:lineRule="atLeas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责令限期改正，对个人处200元罚款，对单位处1万元罚款。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7"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0" w:lineRule="atLeas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0" w:lineRule="atLeast"/>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0" w:lineRule="atLeas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责令限期改正，对个人处200元以上500元以下罚款，对单位处以1万元以上2万元以下罚款。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0"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0" w:lineRule="atLeas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0" w:lineRule="atLeast"/>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0" w:lineRule="atLeas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(1)责令限期改正，逾期拒不改的；</w:t>
            </w:r>
          </w:p>
          <w:p>
            <w:pPr>
              <w:widowControl/>
              <w:spacing w:line="0" w:lineRule="atLeas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(2)曾因该违法行为被查处，再次实施违法行为的；</w:t>
            </w:r>
          </w:p>
          <w:p>
            <w:pPr>
              <w:widowControl/>
              <w:spacing w:line="0" w:lineRule="atLeas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 其他依法应予从重处罚的情形。</w:t>
            </w:r>
          </w:p>
        </w:tc>
        <w:tc>
          <w:tcPr>
            <w:tcW w:w="3232" w:type="dxa"/>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责令限期改正，对个人处500元以上1千元以下罚款，对单位处2万元以上3万元以下罚款。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155</w:t>
            </w:r>
          </w:p>
        </w:tc>
        <w:tc>
          <w:tcPr>
            <w:tcW w:w="1376"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未对经鉴定不符合抗震要求的市政公用设施进行改造、改建或者抗震加固，又未限制使用的</w:t>
            </w:r>
          </w:p>
        </w:tc>
        <w:tc>
          <w:tcPr>
            <w:tcW w:w="1128"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《市政公用设施抗灾设防管理规定》第三十三条</w:t>
            </w:r>
          </w:p>
        </w:tc>
        <w:tc>
          <w:tcPr>
            <w:tcW w:w="4354" w:type="dxa"/>
            <w:gridSpan w:val="4"/>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《市政公用设施抗灾设防管理规定》第三十三条</w:t>
            </w:r>
          </w:p>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违反本规定，未对经鉴定不符合抗震要求的市政公用设施进行改造、改建或者抗震加固，又未限制使用的，由县级以上地方人民政府建设主管部门责令限期改正，逾期不改的，处以1万元以上3万元以下罚款。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责令限期改正、逾期不改的。</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06"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(1)逾期不改，曾因该违法行为被查处，再次实施违法行为的；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(2)其他依法应予从重处罚的情形。</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156</w:t>
            </w:r>
          </w:p>
        </w:tc>
        <w:tc>
          <w:tcPr>
            <w:tcW w:w="1376"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擅自使用没有国家技术标准又未经审定通过的新技术、新材料，或者将不适用于抗震设防区的新技术、新材料用于抗震设防区，或者超出经审定的抗震烈度范围的</w:t>
            </w:r>
          </w:p>
        </w:tc>
        <w:tc>
          <w:tcPr>
            <w:tcW w:w="1128"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《房屋建筑工程抗震设防管理规定》第二十五条</w:t>
            </w:r>
          </w:p>
        </w:tc>
        <w:tc>
          <w:tcPr>
            <w:tcW w:w="4354" w:type="dxa"/>
            <w:gridSpan w:val="4"/>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《房屋建筑工程抗震设防管理规定》第二十五条</w:t>
            </w:r>
          </w:p>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擅自使用没有国家技术标准又未经审定通过的新技术、新材料，或者将不适用于抗震设防区的新技术、新材料用于抗震设防区，或者超出经审定的抗震烈度范围的，由县级以上地方人民政府建设主管部门责令限期改正，并处以1万元以上3万元以下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(1)曾因该违法行为被查处，再次实施违法行为的；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(2)责令限期改正，逾期拒不改正的；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44"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157</w:t>
            </w:r>
          </w:p>
        </w:tc>
        <w:tc>
          <w:tcPr>
            <w:tcW w:w="1376"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擅自变动或者破坏房屋建筑抗震构件、隔震装置、减震部件或者地震反应观测系统等抗震设施的</w:t>
            </w:r>
          </w:p>
        </w:tc>
        <w:tc>
          <w:tcPr>
            <w:tcW w:w="1128"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《房屋建筑工程抗震设防管理规定》第二十六条</w:t>
            </w:r>
          </w:p>
        </w:tc>
        <w:tc>
          <w:tcPr>
            <w:tcW w:w="4354" w:type="dxa"/>
            <w:gridSpan w:val="4"/>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《房屋建筑工程抗震设防管理规定》第二十六条</w:t>
            </w:r>
          </w:p>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擅自变动或者破坏房屋建筑抗震构件、隔震装置、减震部件或者地震反应观测系统等抗震设施的，由县级以上地方人民政府建设主管部门责令限期改正，并对个人处以1000元以下罚款，对单位处以1万元以上3万元以下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责令限期改正，对个人处200元罚款，对单位处1万元罚款。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责令限期改正，对个人处200元以上500元以下罚款，对单位处1万元以上2万元以下罚款。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(1)责令限期改正，逾期拒不改的；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(2)曾因该违法行为被查处，再次实施违法行为的；</w:t>
            </w:r>
          </w:p>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责令限期改正，对个人处500元以上1千元以下罚款，对单位处2万元以上3万元以下罚款。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158</w:t>
            </w:r>
          </w:p>
        </w:tc>
        <w:tc>
          <w:tcPr>
            <w:tcW w:w="1376"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未对抗震能力受损、荷载增加或者需提高抗震设防类别的房屋建筑工程，进行抗震验算、修复和加固的</w:t>
            </w:r>
          </w:p>
        </w:tc>
        <w:tc>
          <w:tcPr>
            <w:tcW w:w="1128"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《房屋建筑工程抗震设防管理规定》第二十七条</w:t>
            </w:r>
          </w:p>
        </w:tc>
        <w:tc>
          <w:tcPr>
            <w:tcW w:w="4354" w:type="dxa"/>
            <w:gridSpan w:val="4"/>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《房屋建筑工程抗震设防管理规定》第二十七条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违反本规定，未对抗震能力受损、荷载增加或者需提高抗震设防类别的房屋建筑工程，进行抗震验算、修复和加固的，由县级以上地方人民政府建设主管部门责令限期改正，逾期不改的，处以1万元以下罚款。</w:t>
            </w:r>
          </w:p>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责令限期改正、逾期未改的。</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处2千元以上5千以下元罚款。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05"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(1)曾因该违法行为被查处，再次实施违法行为的；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(2)其他依法应予从重处罚的情形。</w:t>
            </w:r>
          </w:p>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159</w:t>
            </w:r>
          </w:p>
        </w:tc>
        <w:tc>
          <w:tcPr>
            <w:tcW w:w="1376"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经鉴定需抗震加固的房屋建筑工程在进行装修改造时未进行抗震加固的</w:t>
            </w:r>
          </w:p>
        </w:tc>
        <w:tc>
          <w:tcPr>
            <w:tcW w:w="1128"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《房屋建筑工程抗震设防管理规定》第二十八条</w:t>
            </w:r>
          </w:p>
        </w:tc>
        <w:tc>
          <w:tcPr>
            <w:tcW w:w="4354"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《房屋建筑工程抗震设防管理规定》第二十八条</w:t>
            </w:r>
          </w:p>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违反本规定，经鉴定需抗震加固的房屋建筑工程在进行装修改造时未进行抗震加固的，由县级以上地方人民政府建设主管部门责令限期改正，逾期不改的，处以1万元以下罚款。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责令限期改正、逾期未改的。</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处2千元以上5千以下元罚款。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06"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(1)逾期不改，曾因该违法行为被查处，再次实施违法行为的；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(2)其他依法应予从重处罚的情形。</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160</w:t>
            </w:r>
          </w:p>
        </w:tc>
        <w:tc>
          <w:tcPr>
            <w:tcW w:w="1376"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企业降低安全生产条件或不具备安全生产条件的</w:t>
            </w:r>
          </w:p>
        </w:tc>
        <w:tc>
          <w:tcPr>
            <w:tcW w:w="1128"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《安全生产许可证条例》第十四条、《建筑施工企业安全生产许可证管理规定》第二十三条</w:t>
            </w:r>
          </w:p>
        </w:tc>
        <w:tc>
          <w:tcPr>
            <w:tcW w:w="4354" w:type="dxa"/>
            <w:gridSpan w:val="4"/>
            <w:vMerge w:val="restart"/>
            <w:tcBorders>
              <w:tl2br w:val="nil"/>
              <w:tr2bl w:val="nil"/>
            </w:tcBorders>
            <w:vAlign w:val="center"/>
          </w:tcPr>
          <w:p>
            <w:pPr>
              <w:widowControl/>
              <w:shd w:val="clear" w:color="auto" w:fill="FFFFFF"/>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w:t>
            </w:r>
            <w:r>
              <w:rPr>
                <w:rFonts w:ascii="仿宋_GB2312" w:hAnsi="宋体" w:eastAsia="仿宋_GB2312"/>
                <w:color w:val="000000" w:themeColor="text1"/>
                <w:kern w:val="0"/>
                <w:szCs w:val="21"/>
                <w14:textFill>
                  <w14:solidFill>
                    <w14:schemeClr w14:val="tx1"/>
                  </w14:solidFill>
                </w14:textFill>
              </w:rPr>
              <w:t>第十四条</w:t>
            </w:r>
          </w:p>
          <w:p>
            <w:pPr>
              <w:widowControl/>
              <w:shd w:val="clear" w:color="auto" w:fill="FFFFFF"/>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企业取得安全生产许可证后，不得降低安全生产条件，并应当加强日常安全生产管理，接受安全生产许可证颁发管理机关的监督检查。</w:t>
            </w:r>
          </w:p>
          <w:p>
            <w:pPr>
              <w:widowControl/>
              <w:shd w:val="clear" w:color="auto" w:fill="FFFFFF"/>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安全生产许可证颁发管理机关应当加强对取得安全生产许可证的企业的监督检查，发现其不再具备本条例规定的安全生产条件的，应当暂扣或者吊销安全生产许可证。</w:t>
            </w: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《建筑施工企业安全生产许可证管理规定》第二十三条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建筑施工企业不再具备安全生产条件的，暂扣安全生产许可证并限期整改；情节严重的，吊销安全生产许可证。</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企业不再具备《安全生产许可证条例》第六条或《建筑施工企业安全生产许可证管理规定》第四条规定的安全生产条件中一条以上四条（含）以下的。</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暂扣安全生产许可证30天。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企业不再具备《安全生产许可证条例》第六条或《建筑施工企业安全生产许可证管理规定》第四条规定的安全生产条件中四条以上八条（含）以下的。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暂扣安全生产许可证60天。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企业不再具备《安全生产许可证条例》第六条或《建筑施工企业安全生产许可证管理规定》第四条规定的安全生产条件中八条以上十二条（不含）以下的。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暂扣安全生产许可证90天。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92"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企业不再具备《安全生产许可证条例》第六条或《建筑施工企业安全生产许可证管理规定》第四条规定的全部安全生产条件的。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161</w:t>
            </w:r>
          </w:p>
        </w:tc>
        <w:tc>
          <w:tcPr>
            <w:tcW w:w="1376"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事故发生单位对事故发生负有责任的</w:t>
            </w:r>
          </w:p>
        </w:tc>
        <w:tc>
          <w:tcPr>
            <w:tcW w:w="1128"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《生产安全事故报告和调查处理条例》第四十条、《安全生产许可证条例》第十四条</w:t>
            </w:r>
            <w:r>
              <w:rPr>
                <w:rFonts w:hint="eastAsia" w:ascii="仿宋_GB2312"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《建筑工程施工发包与承包违法行为认定查处管理办法》第十五条第（七）项</w:t>
            </w:r>
          </w:p>
        </w:tc>
        <w:tc>
          <w:tcPr>
            <w:tcW w:w="4354" w:type="dxa"/>
            <w:gridSpan w:val="4"/>
            <w:vMerge w:val="restart"/>
            <w:tcBorders>
              <w:tl2br w:val="nil"/>
              <w:tr2bl w:val="nil"/>
            </w:tcBorders>
            <w:vAlign w:val="center"/>
          </w:tcPr>
          <w:p>
            <w:pPr>
              <w:widowControl/>
              <w:spacing w:line="240" w:lineRule="auto"/>
              <w:jc w:val="left"/>
              <w:textAlignment w:val="center"/>
              <w:rPr>
                <w:rStyle w:val="16"/>
                <w:rFonts w:ascii="仿宋_GB2312" w:hAnsi="宋体" w:eastAsia="仿宋_GB2312"/>
                <w:b w:val="0"/>
                <w:bCs w:val="0"/>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《生产安全事故报告和调查处理条例》第四十条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widowControl/>
              <w:shd w:val="clear" w:color="auto" w:fill="FFFFFF"/>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w:t>
            </w:r>
            <w:r>
              <w:rPr>
                <w:rFonts w:ascii="仿宋_GB2312" w:hAnsi="宋体" w:eastAsia="仿宋_GB2312"/>
                <w:color w:val="000000" w:themeColor="text1"/>
                <w:kern w:val="0"/>
                <w:szCs w:val="21"/>
                <w14:textFill>
                  <w14:solidFill>
                    <w14:schemeClr w14:val="tx1"/>
                  </w14:solidFill>
                </w14:textFill>
              </w:rPr>
              <w:t>第十四条</w:t>
            </w:r>
          </w:p>
          <w:p>
            <w:pPr>
              <w:widowControl/>
              <w:shd w:val="clear" w:color="auto" w:fill="FFFFFF"/>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企业取得安全生产许可证后，不得降低安全生产条件，并应当加强日常安全生产管理，接受安全生产许可证颁发管理机关的监督检查。</w:t>
            </w:r>
          </w:p>
          <w:p>
            <w:pPr>
              <w:widowControl/>
              <w:shd w:val="clear" w:color="auto" w:fill="FFFFFF"/>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安全生产许可证颁发管理机关应当加强对取得安全生产许可证的企业的监督检查，发现其不再具备本条例规定的安全生产条件的，应当暂扣或者吊销安全生产许可证。</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spacing w:line="240" w:lineRule="auto"/>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从轻情形</w:t>
            </w:r>
          </w:p>
        </w:tc>
        <w:tc>
          <w:tcPr>
            <w:tcW w:w="2086" w:type="dxa"/>
            <w:gridSpan w:val="3"/>
            <w:tcBorders>
              <w:tl2br w:val="nil"/>
              <w:tr2bl w:val="nil"/>
            </w:tcBorders>
            <w:vAlign w:val="center"/>
          </w:tcPr>
          <w:p>
            <w:pPr>
              <w:spacing w:line="240" w:lineRule="auto"/>
              <w:ind w:firstLine="210" w:firstLineChars="10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发生一般生产安全事故。</w:t>
            </w:r>
          </w:p>
        </w:tc>
        <w:tc>
          <w:tcPr>
            <w:tcW w:w="3232" w:type="dxa"/>
            <w:tcBorders>
              <w:tl2br w:val="nil"/>
              <w:tr2bl w:val="nil"/>
            </w:tcBorders>
            <w:vAlign w:val="center"/>
          </w:tcPr>
          <w:p>
            <w:pPr>
              <w:spacing w:line="240" w:lineRule="auto"/>
              <w:ind w:firstLine="210" w:firstLineChars="10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暂扣安全生产许可证30-60天。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41"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连续12个月内在同一区域发生两起一般生产安全事故的。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暂扣安全生产许可证60天。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发生较大生产安全事故的。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暂扣安全生产许可证90天，暂扣相关资质证书90天。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发生重大生产安全事故的；</w:t>
            </w:r>
            <w:r>
              <w:rPr>
                <w:rFonts w:hint="eastAsia" w:ascii="仿宋_GB2312" w:hAnsi="宋体" w:eastAsia="仿宋_GB2312"/>
                <w:color w:val="000000" w:themeColor="text1"/>
                <w:kern w:val="0"/>
                <w:szCs w:val="21"/>
                <w14:textFill>
                  <w14:solidFill>
                    <w14:schemeClr w14:val="tx1"/>
                  </w14:solidFill>
                </w14:textFill>
              </w:rPr>
              <w:t>因违法发包、转包、违法分包、挂靠等违法行为导致发生较大生产安全事故的。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暂扣安全生产许可证120天，降低相关企业资质。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发生特别重大生产安全事故或者12个月内连续发生三次生产安全事故或者在安全生产许可证暂扣期间拒不整改的。</w:t>
            </w:r>
            <w:r>
              <w:rPr>
                <w:rFonts w:hint="eastAsia" w:ascii="仿宋_GB2312" w:hAnsi="宋体" w:eastAsia="仿宋_GB2312"/>
                <w:color w:val="000000" w:themeColor="text1"/>
                <w:kern w:val="0"/>
                <w:szCs w:val="21"/>
                <w14:textFill>
                  <w14:solidFill>
                    <w14:schemeClr w14:val="tx1"/>
                  </w14:solidFill>
                </w14:textFill>
              </w:rPr>
              <w:t>因违法发包、转包、违法分包、挂靠等违法行为导致发生重大生产安全事故的。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吊销安全生产许可证和相关企业资质证书。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57"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162</w:t>
            </w:r>
          </w:p>
        </w:tc>
        <w:tc>
          <w:tcPr>
            <w:tcW w:w="1376" w:type="dxa"/>
            <w:gridSpan w:val="2"/>
            <w:vMerge w:val="restart"/>
            <w:tcBorders>
              <w:tl2br w:val="nil"/>
              <w:tr2bl w:val="nil"/>
            </w:tcBorders>
            <w:vAlign w:val="center"/>
          </w:tcPr>
          <w:p>
            <w:pPr>
              <w:spacing w:line="240" w:lineRule="auto"/>
              <w:jc w:val="left"/>
              <w:rPr>
                <w:rFonts w:ascii="仿宋_GB2312"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对发生生产安全</w:t>
            </w:r>
            <w:r>
              <w:rPr>
                <w:rFonts w:hint="eastAsia" w:ascii="仿宋_GB2312" w:eastAsia="仿宋_GB2312"/>
                <w:color w:val="000000" w:themeColor="text1"/>
                <w:szCs w:val="21"/>
                <w14:textFill>
                  <w14:solidFill>
                    <w14:schemeClr w14:val="tx1"/>
                  </w14:solidFill>
                </w14:textFill>
              </w:rPr>
              <w:t>事故负有责任的建筑施工企业主要负责人、项目负责人、专职安全生产管理人员</w:t>
            </w:r>
          </w:p>
        </w:tc>
        <w:tc>
          <w:tcPr>
            <w:tcW w:w="1128" w:type="dxa"/>
            <w:gridSpan w:val="2"/>
            <w:vMerge w:val="restart"/>
            <w:tcBorders>
              <w:tl2br w:val="nil"/>
              <w:tr2bl w:val="nil"/>
            </w:tcBorders>
            <w:vAlign w:val="center"/>
          </w:tcPr>
          <w:p>
            <w:pPr>
              <w:spacing w:line="240" w:lineRule="auto"/>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《生产安全事故报告和调查处理条例》第四十条、《建设工程安全生产管理条例》第五十八条</w:t>
            </w:r>
          </w:p>
        </w:tc>
        <w:tc>
          <w:tcPr>
            <w:tcW w:w="4354" w:type="dxa"/>
            <w:gridSpan w:val="4"/>
            <w:vMerge w:val="restart"/>
            <w:tcBorders>
              <w:tl2br w:val="nil"/>
              <w:tr2bl w:val="nil"/>
            </w:tcBorders>
            <w:vAlign w:val="center"/>
          </w:tcPr>
          <w:p>
            <w:pPr>
              <w:widowControl/>
              <w:spacing w:line="240" w:lineRule="auto"/>
              <w:jc w:val="left"/>
              <w:textAlignment w:val="center"/>
              <w:rPr>
                <w:rStyle w:val="16"/>
                <w:rFonts w:ascii="仿宋_GB2312" w:hAnsi="宋体" w:eastAsia="仿宋_GB2312"/>
                <w:b w:val="0"/>
                <w:bCs w:val="0"/>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《生产安全事故报告和调查处理条例》第四十条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《建设工程安全生产管理条例》第五十八条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1101" w:type="dxa"/>
            <w:gridSpan w:val="3"/>
            <w:tcBorders>
              <w:tl2br w:val="nil"/>
              <w:tr2bl w:val="nil"/>
            </w:tcBorders>
            <w:vAlign w:val="center"/>
          </w:tcPr>
          <w:p>
            <w:pPr>
              <w:spacing w:line="240" w:lineRule="auto"/>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从轻情形</w:t>
            </w:r>
          </w:p>
        </w:tc>
        <w:tc>
          <w:tcPr>
            <w:tcW w:w="2086" w:type="dxa"/>
            <w:gridSpan w:val="3"/>
            <w:tcBorders>
              <w:tl2br w:val="nil"/>
              <w:tr2bl w:val="nil"/>
            </w:tcBorders>
            <w:vAlign w:val="center"/>
          </w:tcPr>
          <w:p>
            <w:pPr>
              <w:spacing w:line="240" w:lineRule="auto"/>
              <w:ind w:firstLine="210" w:firstLineChars="10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发生一般生产安全事故的。</w:t>
            </w:r>
          </w:p>
        </w:tc>
        <w:tc>
          <w:tcPr>
            <w:tcW w:w="3232" w:type="dxa"/>
            <w:tcBorders>
              <w:tl2br w:val="nil"/>
              <w:tr2bl w:val="nil"/>
            </w:tcBorders>
            <w:vAlign w:val="center"/>
          </w:tcPr>
          <w:p>
            <w:pPr>
              <w:spacing w:line="240" w:lineRule="auto"/>
              <w:ind w:firstLine="210" w:firstLineChars="10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暂扣安全生产考核合格证书180-270天。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28"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连续12个月内在同一区域发生两起一般生产安全事故的。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暂扣安全生产考核合格证书270-360天。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01" w:type="dxa"/>
            <w:gridSpan w:val="3"/>
            <w:vMerge w:val="restart"/>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105" w:firstLineChars="5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（1）发生较大生产安全事故的。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撤销安全生产考核合格证书；吊销执业资格证书，5年内不予注册。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105" w:firstLineChars="5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（2）发生重大生产安全事故的。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撤销安全生产考核合格证书；吊销执业资格证书，终身不予注册。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01"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2086" w:type="dxa"/>
            <w:gridSpan w:val="3"/>
            <w:tcBorders>
              <w:tl2br w:val="nil"/>
              <w:tr2bl w:val="nil"/>
            </w:tcBorders>
            <w:vAlign w:val="center"/>
          </w:tcPr>
          <w:p>
            <w:pPr>
              <w:widowControl/>
              <w:spacing w:line="240" w:lineRule="auto"/>
              <w:ind w:firstLine="105" w:firstLineChars="5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（3）发生特别重大生产安全事故或者在证书暂扣期间拒不整改的。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撤销安全生产考核合格证书；吊销执业资格证书，终身不予注册。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163</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企业未取得安全生产许可证擅自从事建筑施工活动的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《安全生产许可证条例》第二条第二款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《安全生产许可证条例》第十九条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违反本条例规定，未取得安全生产许可证擅自进行生产的，责令停止生产，没收违法所得，并处10万元以上50万元以下的罚款；造成重大事故或者其他严重后果，构成犯罪的，依法追究刑事责任。</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责令停止生产，没收违法所得；处10万元以上15万元以下的罚款。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责令停止生产，没收违法所得；处15万元以上40万元以下的罚款。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32" w:type="dxa"/>
            <w:tcBorders>
              <w:tl2br w:val="nil"/>
              <w:tr2bl w:val="nil"/>
            </w:tcBorders>
            <w:vAlign w:val="center"/>
          </w:tcPr>
          <w:p>
            <w:pPr>
              <w:widowControl/>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164</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企业安全生产许可证有效期满未办理延期手续，继续进行生产的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w:t>
            </w:r>
            <w:r>
              <w:rPr>
                <w:rFonts w:ascii="仿宋_GB2312" w:hAnsi="宋体" w:eastAsia="仿宋_GB2312"/>
                <w:color w:val="000000" w:themeColor="text1"/>
                <w:kern w:val="0"/>
                <w:szCs w:val="21"/>
                <w14:textFill>
                  <w14:solidFill>
                    <w14:schemeClr w14:val="tx1"/>
                  </w14:solidFill>
                </w14:textFill>
              </w:rPr>
              <w:t>九</w:t>
            </w:r>
            <w:r>
              <w:rPr>
                <w:rFonts w:hint="eastAsia" w:ascii="仿宋_GB2312" w:hAnsi="宋体" w:eastAsia="仿宋_GB2312"/>
                <w:color w:val="000000" w:themeColor="text1"/>
                <w:kern w:val="0"/>
                <w:szCs w:val="21"/>
                <w14:textFill>
                  <w14:solidFill>
                    <w14:schemeClr w14:val="tx1"/>
                  </w14:solidFill>
                </w14:textFill>
              </w:rPr>
              <w:t>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《安全生产许可证条例》第二十条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安全生产许可证有效期满未办理延期手续，继续进行生产的，责令停止生产，限期补办延期手续，没收违法所得，并处5万元以上10万元以下的罚款；逾期仍不办理延期手续，继续进行生产的，依照本条例第十九条：未取得安全生产许可证擅自进行生产的，责令停止生产，没收违法所得，并处</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万元以下的罚款；造成重大事故或者其他严重后果，构成犯罪的，依法追究刑事责任。</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限期内完成补办手续的，未造成危害后果或后果轻微的。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责令停止生产，限期补办延期手续，没收违法所得；处5万元以上10万元以下的罚款。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9"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逾期未办理延期手续，未造成严重后果或安全生产事故的。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责令停止生产，没收违法所得；处10万元以上30万元以下的罚款。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1"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逾期未办理延期手续，且（1）多次实施同类违法行为的；</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责令停止生产，没收违法所得；处30万元以上50万元以下的罚款。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165</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w:t>
            </w:r>
            <w:r>
              <w:rPr>
                <w:rFonts w:hint="eastAsia" w:ascii="仿宋_GB2312" w:eastAsia="仿宋_GB2312"/>
                <w:bCs/>
                <w:color w:val="000000" w:themeColor="text1"/>
                <w14:textFill>
                  <w14:solidFill>
                    <w14:schemeClr w14:val="tx1"/>
                  </w14:solidFill>
                </w14:textFill>
              </w:rPr>
              <w:t>转让安全生产许可证的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w:t>
            </w:r>
            <w:r>
              <w:rPr>
                <w:rFonts w:ascii="仿宋_GB2312" w:hAnsi="宋体" w:eastAsia="仿宋_GB2312"/>
                <w:color w:val="000000" w:themeColor="text1"/>
                <w:kern w:val="0"/>
                <w:szCs w:val="21"/>
                <w14:textFill>
                  <w14:solidFill>
                    <w14:schemeClr w14:val="tx1"/>
                  </w14:solidFill>
                </w14:textFill>
              </w:rPr>
              <w:t>十三</w:t>
            </w:r>
            <w:r>
              <w:rPr>
                <w:rFonts w:hint="eastAsia" w:ascii="仿宋_GB2312" w:hAnsi="宋体" w:eastAsia="仿宋_GB2312"/>
                <w:color w:val="000000" w:themeColor="text1"/>
                <w:kern w:val="0"/>
                <w:szCs w:val="21"/>
                <w14:textFill>
                  <w14:solidFill>
                    <w14:schemeClr w14:val="tx1"/>
                  </w14:solidFill>
                </w14:textFill>
              </w:rPr>
              <w:t>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《安全生产许可证条例》第二十一条</w:t>
            </w:r>
            <w:r>
              <w:rPr>
                <w:rFonts w:ascii="仿宋_GB2312" w:hAnsi="宋体" w:eastAsia="仿宋_GB2312"/>
                <w:color w:val="000000" w:themeColor="text1"/>
                <w:kern w:val="0"/>
                <w:szCs w:val="21"/>
                <w14:textFill>
                  <w14:solidFill>
                    <w14:schemeClr w14:val="tx1"/>
                  </w14:solidFill>
                </w14:textFill>
              </w:rPr>
              <w:t>第一款</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违反本条例规定，转让安全生产许可证的，没收违法所得，处</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万元以下的罚款，并吊销其安全生产许可证；构成犯罪的，依法追究刑事责任；接受转让的，依照本条例第十九条的规定处罚。</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没收违法所得；处</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万元以上15万元以下的罚款；并吊销其安全生产许可证。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没收违法所得；处15万元以上4</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没收违法所得；处4</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166</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w:t>
            </w:r>
            <w:r>
              <w:rPr>
                <w:rFonts w:hint="eastAsia" w:ascii="仿宋_GB2312" w:eastAsia="仿宋_GB2312"/>
                <w:bCs/>
                <w:color w:val="000000" w:themeColor="text1"/>
                <w14:textFill>
                  <w14:solidFill>
                    <w14:schemeClr w14:val="tx1"/>
                  </w14:solidFill>
                </w14:textFill>
              </w:rPr>
              <w:t>冒用安全生产许可证或者使用伪造的安全生产许可证的</w:t>
            </w:r>
          </w:p>
        </w:tc>
        <w:tc>
          <w:tcPr>
            <w:tcW w:w="1128" w:type="dxa"/>
            <w:gridSpan w:val="2"/>
            <w:vMerge w:val="restart"/>
            <w:tcBorders>
              <w:tl2br w:val="nil"/>
              <w:tr2bl w:val="nil"/>
            </w:tcBorders>
            <w:vAlign w:val="center"/>
          </w:tcPr>
          <w:p>
            <w:pPr>
              <w:spacing w:line="240" w:lineRule="auto"/>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w:t>
            </w:r>
            <w:r>
              <w:rPr>
                <w:rFonts w:ascii="仿宋_GB2312" w:hAnsi="宋体" w:eastAsia="仿宋_GB2312"/>
                <w:color w:val="000000" w:themeColor="text1"/>
                <w:kern w:val="0"/>
                <w:szCs w:val="21"/>
                <w14:textFill>
                  <w14:solidFill>
                    <w14:schemeClr w14:val="tx1"/>
                  </w14:solidFill>
                </w14:textFill>
              </w:rPr>
              <w:t>十三</w:t>
            </w:r>
            <w:r>
              <w:rPr>
                <w:rFonts w:hint="eastAsia" w:ascii="仿宋_GB2312" w:hAnsi="宋体" w:eastAsia="仿宋_GB2312"/>
                <w:color w:val="000000" w:themeColor="text1"/>
                <w:kern w:val="0"/>
                <w:szCs w:val="21"/>
                <w14:textFill>
                  <w14:solidFill>
                    <w14:schemeClr w14:val="tx1"/>
                  </w14:solidFill>
                </w14:textFill>
              </w:rPr>
              <w:t>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《安全生产许可证条例》第二十一条</w:t>
            </w:r>
            <w:r>
              <w:rPr>
                <w:rFonts w:ascii="仿宋_GB2312" w:hAnsi="宋体" w:eastAsia="仿宋_GB2312"/>
                <w:color w:val="000000" w:themeColor="text1"/>
                <w:kern w:val="0"/>
                <w:szCs w:val="21"/>
                <w14:textFill>
                  <w14:solidFill>
                    <w14:schemeClr w14:val="tx1"/>
                  </w14:solidFill>
                </w14:textFill>
              </w:rPr>
              <w:t>第二款</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冒用安全生产许可证或者使用伪造的安全生产许可证的，依照本条例第十九条规定处罚。</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《安全生产许可证条例》第十九条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违反本条例规定，未取得安全生产许可证擅自进行生产的，责令停止生产，没收违法所得，并处10万元以上50万元以下的罚款；造成重大事故或者其他严重后果，构成犯罪的，依法追究刑事责任。</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责令停止生产，没收违法所得；处10万元以上15万元以下的罚款。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责令停止生产，没收违法所得；处15万元以上40万元以下的罚款。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167</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建筑施工企业安全生产许可证有效期满未办理延期手续，继续进行生产</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《建筑施工企业安全生产许可证管理规定》第八条</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《安全生产许可证条例》第二十条</w:t>
            </w:r>
          </w:p>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《建筑施工企业安全生产许可证管理规定》第二十五条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w:t>
            </w: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《建筑施工企业安全生产许可证管理规定》第二十四条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限期内完成补办手续的，未造成危害后果或后果轻微的。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责令其在建项目停止施工，限期补办延期手续，没收违法所得；处5万元以上10万元以下的罚款。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258"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逾期未办理延期手续，未造成严重后果或安全生产事故的。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责令其在建项目停止施工，没收违法所得，并处10万元以上30万元以下的罚款。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逾期未办理延期手续，且（1）多次实施同类违法行为的；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责令其在建项目停止施工，没收违法所得，并处30万元以上50万元以下的罚款。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168</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建筑施工企业转让安全生产许可证</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《建筑施工企业安全生产许可证管理规定》第十八条/第二十六条</w:t>
            </w:r>
            <w:r>
              <w:rPr>
                <w:rFonts w:ascii="仿宋_GB2312" w:hAnsi="宋体" w:eastAsia="仿宋_GB2312"/>
                <w:color w:val="000000" w:themeColor="text1"/>
                <w:kern w:val="0"/>
                <w:szCs w:val="21"/>
                <w14:textFill>
                  <w14:solidFill>
                    <w14:schemeClr w14:val="tx1"/>
                  </w14:solidFill>
                </w14:textFill>
              </w:rPr>
              <w:t>第一款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《建筑施工企业安全生产许可证管理规定》第二十六条</w:t>
            </w:r>
            <w:r>
              <w:rPr>
                <w:rFonts w:ascii="仿宋_GB2312" w:hAnsi="宋体" w:eastAsia="仿宋_GB2312"/>
                <w:color w:val="000000" w:themeColor="text1"/>
                <w:kern w:val="0"/>
                <w:szCs w:val="21"/>
                <w14:textFill>
                  <w14:solidFill>
                    <w14:schemeClr w14:val="tx1"/>
                  </w14:solidFill>
                </w14:textFill>
              </w:rPr>
              <w:t>第一款</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违反本规定，建筑施工企业转让安全生产许可证的，没收违法所得，处10万元以上50万元以下的罚款，并吊销安全生产许可证；构成犯罪的，依法追究刑事责任；接受转让的，依照本规定第二十四条的规定处罚。</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《建筑施工企业安全生产许可证管理规定》第二十四条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没收违法所得；处</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万元以上15万元以下的罚款；并吊销其安全生产许可证。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没收违法所得；处15万元以上4</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没收违法所得；处4</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169</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建筑施工企业接受转让安全生产许可证</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《建筑施工企业安全生产许可证管理规定》第十八条/第二十六条</w:t>
            </w:r>
            <w:r>
              <w:rPr>
                <w:rFonts w:ascii="仿宋_GB2312" w:hAnsi="宋体" w:eastAsia="仿宋_GB2312"/>
                <w:color w:val="000000" w:themeColor="text1"/>
                <w:kern w:val="0"/>
                <w:szCs w:val="21"/>
                <w14:textFill>
                  <w14:solidFill>
                    <w14:schemeClr w14:val="tx1"/>
                  </w14:solidFill>
                </w14:textFill>
              </w:rPr>
              <w:t>第一款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《建筑施工企业安全生产许可证管理规定》第二十六条</w:t>
            </w:r>
            <w:r>
              <w:rPr>
                <w:rFonts w:ascii="仿宋_GB2312" w:hAnsi="宋体" w:eastAsia="仿宋_GB2312"/>
                <w:color w:val="000000" w:themeColor="text1"/>
                <w:kern w:val="0"/>
                <w:szCs w:val="21"/>
                <w14:textFill>
                  <w14:solidFill>
                    <w14:schemeClr w14:val="tx1"/>
                  </w14:solidFill>
                </w14:textFill>
              </w:rPr>
              <w:t>第一款</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违反本规定，建筑施工企业转让安全生产许可证的，没收违法所得，处10万元以上50万元以下的罚款，并吊销安全生产许可证；构成犯罪的，依法追究刑事责任；接受转让的，依照本规定第二十四条的规定处罚。</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《建筑施工企业安全生产许可证管理规定》第二十四条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责令其在建项目停止施工，没收违法所得；处10万元以上15万元以下的罚款。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责令其在建项目停止施工，没收违法所得；处15万元以上40万元以下的罚款。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170</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建筑施工企业冒用安全生产许可证或者使用伪造的安全生产许可证</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《建筑施工企业安全生产许可证管理规定》第十八</w:t>
            </w:r>
            <w:r>
              <w:rPr>
                <w:rFonts w:ascii="仿宋_GB2312" w:hAnsi="宋体" w:eastAsia="仿宋_GB2312"/>
                <w:color w:val="000000" w:themeColor="text1"/>
                <w:kern w:val="0"/>
                <w:szCs w:val="21"/>
                <w14:textFill>
                  <w14:solidFill>
                    <w14:schemeClr w14:val="tx1"/>
                  </w14:solidFill>
                </w14:textFill>
              </w:rPr>
              <w:t>条</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w:t>
            </w:r>
            <w:r>
              <w:rPr>
                <w:rFonts w:ascii="仿宋_GB2312" w:hAnsi="宋体" w:eastAsia="仿宋_GB2312"/>
                <w:color w:val="000000" w:themeColor="text1"/>
                <w:kern w:val="0"/>
                <w:szCs w:val="21"/>
                <w14:textFill>
                  <w14:solidFill>
                    <w14:schemeClr w14:val="tx1"/>
                  </w14:solidFill>
                </w14:textFill>
              </w:rPr>
              <w:t>十三</w:t>
            </w:r>
            <w:r>
              <w:rPr>
                <w:rFonts w:hint="eastAsia" w:ascii="仿宋_GB2312" w:hAnsi="宋体" w:eastAsia="仿宋_GB2312"/>
                <w:color w:val="000000" w:themeColor="text1"/>
                <w:kern w:val="0"/>
                <w:szCs w:val="21"/>
                <w14:textFill>
                  <w14:solidFill>
                    <w14:schemeClr w14:val="tx1"/>
                  </w14:solidFill>
                </w14:textFill>
              </w:rPr>
              <w:t>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《建筑施工企业安全生产许可证管理规定》第二十六条</w:t>
            </w:r>
            <w:r>
              <w:rPr>
                <w:rFonts w:ascii="仿宋_GB2312" w:hAnsi="宋体" w:eastAsia="仿宋_GB2312"/>
                <w:color w:val="000000" w:themeColor="text1"/>
                <w:kern w:val="0"/>
                <w:szCs w:val="21"/>
                <w14:textFill>
                  <w14:solidFill>
                    <w14:schemeClr w14:val="tx1"/>
                  </w14:solidFill>
                </w14:textFill>
              </w:rPr>
              <w:t>第二款</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冒用安全生产许可证或者使用伪造的安全生产许可证的，依照本规定第二十四条的规定处罚。</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《建筑施工企业安全生产许可证管理规定》第二十四条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责令其在建项目停止施工，没收违法所得；处10万元以上15万元以下的罚款。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责令其在建项目停止施工，没收违法所得；处15万元以上40万元以下的罚款。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171</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出租单位、自购建筑起重机械的使用单位未按照规定办理备案的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《建筑起重机械安全监督管理规定》第二十八条</w:t>
            </w:r>
            <w:r>
              <w:rPr>
                <w:rFonts w:ascii="仿宋_GB2312" w:hAnsi="宋体" w:eastAsia="仿宋_GB2312"/>
                <w:color w:val="000000" w:themeColor="text1"/>
                <w:kern w:val="0"/>
                <w:szCs w:val="21"/>
                <w14:textFill>
                  <w14:solidFill>
                    <w14:schemeClr w14:val="tx1"/>
                  </w14:solidFill>
                </w14:textFill>
              </w:rPr>
              <w:t>第一项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《建筑起重机械安全监督管理规定》第二十八条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违反本规定，出租单位、自购建筑起重机械的使用单位，有下列行为之一的，由县级以上地方人民政府建设主管部门责令限期改正，予以警告，并处以5000元以上1万元以下罚款：</w:t>
            </w:r>
          </w:p>
          <w:p>
            <w:pPr>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（一）未按照规定办理备案的；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1台建筑起重机械未按照规定办理备案的。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责令限期改正，予以警告，处5000元以上6500元以下罚款。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2台建筑起重机械未按照规定办理备案的。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责令限期改正，予以警告，处6500元以上1万元以下罚款。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3台以上建筑起重机械未按照规定办理备案或造成一定后果影响的。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172</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出租单位、自购建筑起重机械的使用单位未按照规定办理注销手续的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《建筑起重机械安全监督管理规定》第二十八条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《建筑起重机械安全监督管理规定》第二十八条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违反本规定，出租单位、自购建筑起重机械的使用单位，有下列行为之一的，由县级以上地方人民政府建设主管部门责令限期改正，予以警告，并处以5000元以上1万元以下罚款：</w:t>
            </w:r>
          </w:p>
          <w:p>
            <w:pPr>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（二）未按照规定办理注销手续的；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1台建筑起重机械未按照规定办理注销手续的。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责令限期改正，予以警告，处5000元以上6500元以下罚款。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2台建筑起重机械未按照规定办理注销手续的。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责令限期改正，予以警告，处6500元以上1万元以下罚款。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3台以上建筑起重机械未按照规定办理注销手续或造成一定后果影响的。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173</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出租单位、自购建筑起重机械的使用单位未按照规定建立建筑起重机械安全技术档案的</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《建筑起重机械安全监督管理规定》第九条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《建筑起重机械安全监督管理规定》第二十八条第（三）项</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违反本规定，出租单位、自购建筑起重机械的使用单位，有下列行为之一的，由县级以上地方人民政府建设主管部门责令限期改正，予以警告，并处以5000元以上1万元以下罚款：</w:t>
            </w:r>
          </w:p>
          <w:p>
            <w:pPr>
              <w:widowControl/>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（三）未按照规定建立建筑起重机械安全技术档案的。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单位有1台建筑起重机械未按照规定建立建筑起重机械安全技术档案的。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责令限期改正，予以警告，处5000元以上6500元以下罚款。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单位有2台建筑起重机械未按照规定建立建筑起重机械安全技术档案的。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责令限期改正，予以警告，处6500元以上1万元以下罚款。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单位有3台以上建筑起重机械未按照规定建立建筑起重机械安全技术档案或造成一定后果影响的。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174</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安装单位未按照安全技术标准及安装使用说明书等检查建筑起重机械及现场施工条件的</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第二十九条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违反本规定，安装单位有下列行为之一的，由县级以上地方人民政府建设主管部门责令限期改正，予以警告，并处以5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（一）未履行第十二条第（二）、（四）、（五）项安全职责的；</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14:textFill>
                  <w14:solidFill>
                    <w14:schemeClr w14:val="tx1"/>
                  </w14:solidFill>
                </w14:textFill>
              </w:rPr>
              <w:t>　安装单位应当履行下列安全职责：</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（二）按照安全技术标准及安装使用说明书等检查建筑起重机械及现场施工条件；</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安装单位有1台建筑起重机械及现场施工条件未按照安全技术标准及安装使用说明书等检查的。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责令限期改正，予以警告，处5000元以上1万元以下的罚款。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安装单位有2台建筑起重机械及现场施工条件未按照安全技术标准及安装使用说明书等检查的。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安装单位有3台以上建筑起重机械及现场施工条件未按照安全技术标准及安装使用说明书等检查或造成一定后果影响的。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175</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安装单位未制定建筑起重机械安装、拆卸工程生产安全事故应急救援预案的</w:t>
            </w:r>
          </w:p>
        </w:tc>
        <w:tc>
          <w:tcPr>
            <w:tcW w:w="1128" w:type="dxa"/>
            <w:gridSpan w:val="2"/>
            <w:vMerge w:val="restart"/>
            <w:tcBorders>
              <w:tl2br w:val="nil"/>
              <w:tr2bl w:val="nil"/>
            </w:tcBorders>
            <w:vAlign w:val="center"/>
          </w:tcPr>
          <w:p>
            <w:pPr>
              <w:widowControl/>
              <w:spacing w:line="240" w:lineRule="auto"/>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第二十九条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违反本规定，安装单位有下列行为之一的，由县级以上地方人民政府建设主管部门责令限期改正，予以警告，并处以5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（一）未履行第十二条第（二）、（四）、（五）项安全职责的；</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安装单位应当履行下列安全职责：</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（四）制定建筑起重机械安装、拆卸工程生产安全事故应急救援预案；</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安装单位有1台建筑起重机械的安装、拆卸未制定生产安全事故应急救援预案的。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责令限期改正，予以警告，处5000元以上1万元以下的罚款。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安装单位有2台建筑起重机械的安装、拆卸未制定生产安全事故应急救援预案的。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安装单位有3台以上建筑起重机械的安装、拆卸未制定生产安全事故应急救援预案或造成一定后果影响的。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176</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安装单位未将建筑起重机械安装、拆卸工程专项施工方案，安装、拆卸人员名单，安装、拆卸时间等材料报施工总承包单位和监理单位审核，未告知工程所在地县级以上地方人民政府建设主管部门的</w:t>
            </w:r>
          </w:p>
        </w:tc>
        <w:tc>
          <w:tcPr>
            <w:tcW w:w="1128"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五</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第二十九条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违反本规定，安装单位有下列行为之一的，由县级以上地方人民政府建设主管部门责令限期改正，予以警告，并处以5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（一）未履行第十二条第（二）、（四）、（五）项安全职责的；</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第十二条　安装单位应当履行下列安全职责：</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（五）将建筑起重机械安装、拆卸工程专项施工方案，安装、拆卸人员名单，安装、拆卸时间等材料报施工总承包单位和监理单位审核后，告知工程所在地县级以上地方人民政府建设主管部门。</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未将1台建筑起重机械安装、拆卸工程专项施工方案，安装、拆卸人员名单，安装、拆卸时间等材料报施工总承包单位和监理单位审核后，告知工程所在地县级以上地方人民政府建设主管部门的。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未将2台建筑起重机械安装、拆卸工程专项施工方案，安装、拆卸人员名单，安装、拆卸时间等材料报施工总承包单位和监理单位审核后，告知工程所在地县级以上地方人民政府建设主管部门的。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将3台以上建筑起重机械安装、拆卸工程专项施工方案，安装、拆卸人员名单，安装、拆卸时间等材料报施工总承包单位和监理单位审核后，告知工程所在地县级以上地方人民政府建设主管部门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177</w:t>
            </w:r>
          </w:p>
        </w:tc>
        <w:tc>
          <w:tcPr>
            <w:tcW w:w="1376"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安装单位未按照规定建立建筑起重机械安装、拆卸工程档案的</w:t>
            </w:r>
          </w:p>
        </w:tc>
        <w:tc>
          <w:tcPr>
            <w:tcW w:w="1128" w:type="dxa"/>
            <w:gridSpan w:val="2"/>
            <w:vMerge w:val="restart"/>
            <w:tcBorders>
              <w:tl2br w:val="nil"/>
              <w:tr2bl w:val="nil"/>
            </w:tcBorders>
            <w:vAlign w:val="center"/>
          </w:tcPr>
          <w:p>
            <w:pPr>
              <w:spacing w:line="240" w:lineRule="auto"/>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第十五条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第二十九条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违反本规定，安装单位有下列行为之一的，由县级以上地方人民政府建设主管部门责令限期改正，予以警告，并处以5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（二）未按照规定建立建筑起重机械安装、拆卸工程档案的；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未按照规定建立1台建筑起重机械安装、拆卸工程档案的。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未按照规定建立2台建筑起重机械安装、拆卸工程档案的。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未按照规定建立3台以上建筑起重机械安装、拆卸工程档案或造成一定后果影响的。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178</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安装单位未按照建筑起重机械安装、拆卸工程专项施工方案及安全操作规程组织安装、拆卸作业的</w:t>
            </w:r>
          </w:p>
        </w:tc>
        <w:tc>
          <w:tcPr>
            <w:tcW w:w="1128" w:type="dxa"/>
            <w:gridSpan w:val="2"/>
            <w:vMerge w:val="restart"/>
            <w:tcBorders>
              <w:tl2br w:val="nil"/>
              <w:tr2bl w:val="nil"/>
            </w:tcBorders>
            <w:vAlign w:val="center"/>
          </w:tcPr>
          <w:p>
            <w:pPr>
              <w:spacing w:line="240" w:lineRule="auto"/>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第十三条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第二十九条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违反本规定，安装单位有下列行为之一的，由县级以上地方人民政府建设主管部门责令限期改正，予以警告，并处以5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（三）未按照建筑起重机械安装、拆卸工程专项施工方案及安全操作规程组织安装、拆卸作业的。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有1台建筑起重机械未按照建筑起重机械安装、拆卸工程专项施工方案及安全操作规程组织安装、拆卸作业的。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有2台建筑起重机械未按照建筑起重机械安装、拆卸工程专项施工方案及安全操作规程组织安装、拆卸作业的。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有3台以上建筑起重机械未按照建筑起重机械安装、拆卸工程专项施工方案及安全操作规程组织安装、拆卸作业或造成一定后果影响的。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179</w:t>
            </w:r>
          </w:p>
        </w:tc>
        <w:tc>
          <w:tcPr>
            <w:tcW w:w="1376" w:type="dxa"/>
            <w:gridSpan w:val="2"/>
            <w:vMerge w:val="restart"/>
            <w:tcBorders>
              <w:tl2br w:val="nil"/>
              <w:tr2bl w:val="nil"/>
            </w:tcBorders>
            <w:vAlign w:val="center"/>
          </w:tcPr>
          <w:p>
            <w:pPr>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使用单位未根据不同施工阶段、周围环境以及季节、气候的变化，对建筑起重机械采取相应的安全防护措施的</w:t>
            </w:r>
          </w:p>
        </w:tc>
        <w:tc>
          <w:tcPr>
            <w:tcW w:w="1128" w:type="dxa"/>
            <w:gridSpan w:val="2"/>
            <w:vMerge w:val="restart"/>
            <w:tcBorders>
              <w:tl2br w:val="nil"/>
              <w:tr2bl w:val="nil"/>
            </w:tcBorders>
            <w:vAlign w:val="center"/>
          </w:tcPr>
          <w:p>
            <w:pPr>
              <w:spacing w:line="240" w:lineRule="auto"/>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违反本规定，使用单位有下列行为之一的，由县级以上地方人民政府建设主管部门责令限期改正，予以警告，并处以5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（一）未履行第十八条第（一）、（二）、（四）、（六）项安全职责的；</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使用单位应当履行下列安全职责：</w:t>
            </w:r>
          </w:p>
          <w:p>
            <w:pPr>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（一）根据不同施工阶段、周围环境以及季节、气候的变化，对建筑起重机械采取相应的安全防护措施；</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未采取相应的安全防护措施的建筑起重机械数量1台的。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未采取相应的安全防护措施的建筑起重机械数量2台的。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未采取相应的安全防护措施的建筑起重机械数量3台以上的；或造成一定后果影响的。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180</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使用单位未制定建筑起重机械生产安全事故应急救援预案的</w:t>
            </w:r>
          </w:p>
        </w:tc>
        <w:tc>
          <w:tcPr>
            <w:tcW w:w="1128" w:type="dxa"/>
            <w:gridSpan w:val="2"/>
            <w:vMerge w:val="restart"/>
            <w:tcBorders>
              <w:tl2br w:val="nil"/>
              <w:tr2bl w:val="nil"/>
            </w:tcBorders>
            <w:vAlign w:val="center"/>
          </w:tcPr>
          <w:p>
            <w:pPr>
              <w:spacing w:line="240" w:lineRule="auto"/>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违反本规定，使用单位有下列行为之一的，由县级以上地方人民政府建设主管部门责令限期改正，予以警告，并处以5千元以上3万元以下罚款：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（一）未履行第十八条第（一）、（二）、（四）、（六）项安全职责的；</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单位应当履行下列安全职责：</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（二）制定建筑起重机械生产安全事故应急救援预案；</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未制定生产安全事故应急救援预案的建筑起重机械数量1台的。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未制定生产安全事故应急救援预案的建筑起重机械数量2台的。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未制定生产安全事故应急救援预案的建筑起重机械数量3台以上的；或造成一定后果影响的。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181</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使用单位未设置相应的设备管理机构或者配备专职的设备管理人员的</w:t>
            </w:r>
          </w:p>
        </w:tc>
        <w:tc>
          <w:tcPr>
            <w:tcW w:w="1128" w:type="dxa"/>
            <w:gridSpan w:val="2"/>
            <w:vMerge w:val="restart"/>
            <w:tcBorders>
              <w:tl2br w:val="nil"/>
              <w:tr2bl w:val="nil"/>
            </w:tcBorders>
            <w:vAlign w:val="center"/>
          </w:tcPr>
          <w:p>
            <w:pPr>
              <w:spacing w:line="240" w:lineRule="auto"/>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违反本规定，使用单位有下列行为之一的，由县级以上地方人民政府建设主管部门责令限期改正，予以警告，并处以5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（一）未履行第十八条第（一）、（二）、（四）、（六）项安全职责的；</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使用单位应当履行下列安全职责：</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（四）设置相应的设备管理机构或者配备专职的设备管理人员；</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未设置相应的设备管理机构或者未配备专职的设备管理人员的。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未设置相应的设备管理机构和未配备专职的设备管理人员的。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182</w:t>
            </w:r>
          </w:p>
        </w:tc>
        <w:tc>
          <w:tcPr>
            <w:tcW w:w="1376" w:type="dxa"/>
            <w:gridSpan w:val="2"/>
            <w:vMerge w:val="restart"/>
            <w:tcBorders>
              <w:tl2br w:val="nil"/>
              <w:tr2bl w:val="nil"/>
            </w:tcBorders>
            <w:vAlign w:val="center"/>
          </w:tcPr>
          <w:p>
            <w:pPr>
              <w:spacing w:line="240" w:lineRule="auto"/>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使用单位在建筑起重机械出现故障或者发生异常情况时，未立即停止使用，或未消除故障和事故隐患，就重新投入使用的</w:t>
            </w:r>
          </w:p>
        </w:tc>
        <w:tc>
          <w:tcPr>
            <w:tcW w:w="1128" w:type="dxa"/>
            <w:gridSpan w:val="2"/>
            <w:vMerge w:val="restart"/>
            <w:tcBorders>
              <w:tl2br w:val="nil"/>
              <w:tr2bl w:val="nil"/>
            </w:tcBorders>
            <w:vAlign w:val="center"/>
          </w:tcPr>
          <w:p>
            <w:pPr>
              <w:spacing w:line="240" w:lineRule="auto"/>
              <w:jc w:val="center"/>
              <w:rPr>
                <w:rFonts w:ascii="仿宋_GB2312" w:hAnsi="宋体" w:eastAsia="仿宋_GB2312"/>
                <w:color w:val="000000" w:themeColor="text1"/>
                <w:kern w:val="0"/>
                <w:szCs w:val="21"/>
                <w14:textFill>
                  <w14:solidFill>
                    <w14:schemeClr w14:val="tx1"/>
                  </w14:solidFill>
                </w14:textFill>
              </w:rPr>
            </w:pPr>
          </w:p>
          <w:p>
            <w:pPr>
              <w:spacing w:line="240" w:lineRule="auto"/>
              <w:jc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六</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违反本规定，使用单位有下列行为之一的，由县级以上地方人民政府建设主管部门责令限期改正，予以警告，并处以5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（一）未履行第十八条第（一）、（二）、（四）、（六）项安全职责的；</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六</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使用单位应当履行下列安全职责： （六）建筑起重机械出现故障或者发生异常情况的，立即停止使用，消除故障和事故隐患后，方可重新投入使用。</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建筑起重机械出现故障或者发生异常情况达1台，未立即停止使用，或未消除故障和事故隐患，就重新投入使用的。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建筑起重机械出现故障或者发生异常情况达2台，未立即停止使用，或未消除故障和事故隐患，就重新投入使用的；或存在重大事故隐患的。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建筑起重机械出现故障或者发生异常情况达3台以上，未立即停止使用，或未消除故障和事故隐患，就重新投入使用的；或造成一定后果影响的。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183</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使用单位未指定专职设备管理人员进行现场监督检查的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违反本规定，使用单位有下列行为之一的，由县级以上地方人民政府建设主管部门责令限期改正，予以警告，并处以5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（二）未指定专职设备管理人员进行现场监督检查的；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有1台</w:t>
            </w:r>
            <w:r>
              <w:rPr>
                <w:rFonts w:ascii="仿宋_GB2312" w:hAnsi="宋体" w:eastAsia="仿宋_GB2312"/>
                <w:color w:val="000000" w:themeColor="text1"/>
                <w:kern w:val="0"/>
                <w:szCs w:val="21"/>
                <w14:textFill>
                  <w14:solidFill>
                    <w14:schemeClr w14:val="tx1"/>
                  </w14:solidFill>
                </w14:textFill>
              </w:rPr>
              <w:t>建筑起重机械</w:t>
            </w:r>
            <w:r>
              <w:rPr>
                <w:rFonts w:hint="eastAsia" w:ascii="仿宋_GB2312" w:hAnsi="宋体" w:eastAsia="仿宋_GB2312"/>
                <w:color w:val="000000" w:themeColor="text1"/>
                <w:kern w:val="0"/>
                <w:szCs w:val="21"/>
                <w14:textFill>
                  <w14:solidFill>
                    <w14:schemeClr w14:val="tx1"/>
                  </w14:solidFill>
                </w14:textFill>
              </w:rPr>
              <w:t>未指定专职设备管理人员进行现场监督检查。</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有2台以上</w:t>
            </w:r>
            <w:r>
              <w:rPr>
                <w:rFonts w:ascii="仿宋_GB2312" w:hAnsi="宋体" w:eastAsia="仿宋_GB2312"/>
                <w:color w:val="000000" w:themeColor="text1"/>
                <w:kern w:val="0"/>
                <w:szCs w:val="21"/>
                <w14:textFill>
                  <w14:solidFill>
                    <w14:schemeClr w14:val="tx1"/>
                  </w14:solidFill>
                </w14:textFill>
              </w:rPr>
              <w:t>建筑起重机械</w:t>
            </w:r>
            <w:r>
              <w:rPr>
                <w:rFonts w:hint="eastAsia" w:ascii="仿宋_GB2312" w:hAnsi="宋体" w:eastAsia="仿宋_GB2312"/>
                <w:color w:val="000000" w:themeColor="text1"/>
                <w:kern w:val="0"/>
                <w:szCs w:val="21"/>
                <w14:textFill>
                  <w14:solidFill>
                    <w14:schemeClr w14:val="tx1"/>
                  </w14:solidFill>
                </w14:textFill>
              </w:rPr>
              <w:t>未指定专职设备管理人员进行现场监督检查。</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有3台以上</w:t>
            </w:r>
            <w:r>
              <w:rPr>
                <w:rFonts w:ascii="仿宋_GB2312" w:hAnsi="宋体" w:eastAsia="仿宋_GB2312"/>
                <w:color w:val="000000" w:themeColor="text1"/>
                <w:kern w:val="0"/>
                <w:szCs w:val="21"/>
                <w14:textFill>
                  <w14:solidFill>
                    <w14:schemeClr w14:val="tx1"/>
                  </w14:solidFill>
                </w14:textFill>
              </w:rPr>
              <w:t>建筑起重机械</w:t>
            </w:r>
            <w:r>
              <w:rPr>
                <w:rFonts w:hint="eastAsia" w:ascii="仿宋_GB2312" w:hAnsi="宋体" w:eastAsia="仿宋_GB2312"/>
                <w:color w:val="000000" w:themeColor="text1"/>
                <w:kern w:val="0"/>
                <w:szCs w:val="21"/>
                <w14:textFill>
                  <w14:solidFill>
                    <w14:schemeClr w14:val="tx1"/>
                  </w14:solidFill>
                </w14:textFill>
              </w:rPr>
              <w:t>未指定专职设备管理人员进行现场监督检查或造成事故的。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184</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使用单位擅自在建筑起重机械上安装非原制造厂制造的标准节和附着装置的</w:t>
            </w:r>
          </w:p>
        </w:tc>
        <w:tc>
          <w:tcPr>
            <w:tcW w:w="1128" w:type="dxa"/>
            <w:gridSpan w:val="2"/>
            <w:vMerge w:val="restart"/>
            <w:tcBorders>
              <w:tl2br w:val="nil"/>
              <w:tr2bl w:val="nil"/>
            </w:tcBorders>
            <w:vAlign w:val="center"/>
          </w:tcPr>
          <w:p>
            <w:pPr>
              <w:spacing w:line="240" w:lineRule="auto"/>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违反本规定，使用单位有下列行为之一的，由县级以上地方人民政府建设主管部门责令限期改正，予以警告，并处以5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元以上3万元以下罚款：（三）擅自在建筑起重机械上安装非原制造厂制造的标准节和附着装置的。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擅自在1台建筑起重机械上安装非原制造厂制造的标准节或附着装置的。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擅自在2台建筑起重机械上安装非原制造厂制造的标准节或附着装置的。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擅自在3台以上建筑起重机械上安装非原制造厂制造的标准节或附着装置的；或造成一般以上安全事故的。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185</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施工总承包单位未向安装单位提供拟安装设备位置的基础施工资料，未能确保建筑起重机械进场安装、拆卸所需的施工条件的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第三十一条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违反本规定，施工总承包单位未履行第二十一条第（一）、（三）、（四）、（五）、（七）项安全职责的，由县级以上地方人民政府建设主管部门责令限期改正，予以警告，并处以5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施工总承包单位应当履行下列安全职责：</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（一）向安装单位提供拟安装设备位置的基础施工资料，确保建筑起重机械进场安装、拆卸所需的施工条件；</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未提供1台拟安装设备位置的基础施工资料，未确保1台建筑起重机械进场安装、拆卸所需的施工条件。</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未提供2台拟安装设备位置的基础施工资料，未确保2台建筑起重机械进场安装、拆卸所需的施工条件。</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未提供3台以上拟安装设备位置的基础施工资料，未确保3台以上建筑起重机械进场安装、拆卸所需的施工条件；或造成一定后果影响的。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186</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施工总承包单位未审核安装单位、使用单位的资质证书、安全生产许可证和特种作业人员的特种作业操作资格证书的</w:t>
            </w:r>
          </w:p>
        </w:tc>
        <w:tc>
          <w:tcPr>
            <w:tcW w:w="1128" w:type="dxa"/>
            <w:gridSpan w:val="2"/>
            <w:vMerge w:val="restart"/>
            <w:tcBorders>
              <w:tl2br w:val="nil"/>
              <w:tr2bl w:val="nil"/>
            </w:tcBorders>
            <w:vAlign w:val="center"/>
          </w:tcPr>
          <w:p>
            <w:pPr>
              <w:spacing w:line="240" w:lineRule="auto"/>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第三十一条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违反本规定，施工总承包单位未履行第二十一条第（一）、（三）、（四）、（五）、（七）项安全职责的，由县级以上地方人民政府建设主管部门责令限期改正，予以警告，并处以5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　施工总承包单位应当履行下列安全职责：</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（三）审核安装单位、使用单位的资质证书、安全生产许可证和特种作业人员的特种作业操作资格证书；</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安装单位、使用单位的资质证书、安全生产许可证和特种作业人员的特种作业操作资格证书合乎要求，施工总承包单位未审核的。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安装单位、使用单位的资质证书、安全生产许可证和特种作业人员的特种作业操作资格证书不全，施工总承包单位未审核的。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安装单位、使用单位无资质证书、安全生产许可证和特种作业人员无特种作业操作资格证书，施工总承包单位未审核的。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187</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施工总承包单位未审核安装单位制定的建筑起重机械安装、拆卸工程专项施工方案和生产安全事故应急救援预案的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第三十一条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违反本规定，施工总承包单位未履行第二十一条第（一）、（三）、（四）、（五）、（七）项安全职责的，由县级以上地方人民政府建设主管部门责令限期改正，予以警告，并处以5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第二十一条　施工总承包单位应当履行下列安全职责：</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（四）审核安装单位制定的建筑起重机械安装、拆卸工程专项施工方案和生产安全事故应急救援预案；</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施工总承包单位未审核1台建筑起重机械的安装、拆卸工程专项施工方案和生产安全事故应急救援预案的。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施工总承包单位未审核2台建筑起重机械的安装、拆卸工程专项施工方案和生产安全事故应急救援预案的。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施工总承包单位未审核3台以上建筑起重机械的安装、拆卸工程专项施工方案和生产安全事故应急救援预案或造成一定后果影响的。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188</w:t>
            </w:r>
          </w:p>
        </w:tc>
        <w:tc>
          <w:tcPr>
            <w:tcW w:w="1376" w:type="dxa"/>
            <w:gridSpan w:val="2"/>
            <w:vMerge w:val="restart"/>
            <w:tcBorders>
              <w:tl2br w:val="nil"/>
              <w:tr2bl w:val="nil"/>
            </w:tcBorders>
            <w:vAlign w:val="center"/>
          </w:tcPr>
          <w:p>
            <w:pPr>
              <w:spacing w:line="240" w:lineRule="auto"/>
              <w:ind w:firstLine="210" w:firstLineChars="100"/>
              <w:jc w:val="center"/>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施工总承包单位未审核使用单位制定的建筑起重机械生产安全事故应急救援预案的</w:t>
            </w:r>
          </w:p>
        </w:tc>
        <w:tc>
          <w:tcPr>
            <w:tcW w:w="1128" w:type="dxa"/>
            <w:gridSpan w:val="2"/>
            <w:vMerge w:val="restart"/>
            <w:tcBorders>
              <w:tl2br w:val="nil"/>
              <w:tr2bl w:val="nil"/>
            </w:tcBorders>
            <w:vAlign w:val="center"/>
          </w:tcPr>
          <w:p>
            <w:pPr>
              <w:spacing w:line="240" w:lineRule="auto"/>
              <w:ind w:right="-2" w:rightChars="-1"/>
              <w:jc w:val="center"/>
              <w:rPr>
                <w:rFonts w:ascii="仿宋_GB2312" w:hAnsi="宋体" w:eastAsia="仿宋_GB2312"/>
                <w:color w:val="000000" w:themeColor="text1"/>
                <w:kern w:val="0"/>
                <w:szCs w:val="21"/>
                <w14:textFill>
                  <w14:solidFill>
                    <w14:schemeClr w14:val="tx1"/>
                  </w14:solidFill>
                </w14:textFill>
              </w:rPr>
            </w:pPr>
          </w:p>
          <w:p>
            <w:pPr>
              <w:spacing w:line="240" w:lineRule="auto"/>
              <w:ind w:right="-2" w:rightChars="-1"/>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（五）</w:t>
            </w:r>
            <w:r>
              <w:rPr>
                <w:rFonts w:ascii="仿宋_GB2312" w:hAnsi="宋体" w:eastAsia="仿宋_GB2312"/>
                <w:color w:val="000000" w:themeColor="text1"/>
                <w:kern w:val="0"/>
                <w:szCs w:val="21"/>
                <w14:textFill>
                  <w14:solidFill>
                    <w14:schemeClr w14:val="tx1"/>
                  </w14:solidFill>
                </w14:textFill>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第三十一条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违反本规定，施工总承包单位未履行第二十一条第（一）、（三）、（四）、（五）、（七）项安全职责的，由县级以上地方人民政府建设主管部门责令限期改正，予以警告，并处以5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施工总承包单位应当履行下列安全职责：</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（五）审核使用单位制定的建筑起重机械生产安全事故应急救援预案；</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施工总承包单位未审核使用单位制定的1台建筑起重机械生产安全事故应急救援预案的。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施工总承包单位未审核使用单位制定的2台建筑起重机械生产安全事故应急救援预案的。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施工总承包单位未审核使用单位制定的3台以上建筑起重机械生产安全事故应急救援预案或造成一定后果影响的。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189</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施工总承包单位在施工现场有多台塔式起重机作业时，未组织制定并实施防止塔式起重机相互碰撞的安全措施的</w:t>
            </w:r>
          </w:p>
        </w:tc>
        <w:tc>
          <w:tcPr>
            <w:tcW w:w="1128" w:type="dxa"/>
            <w:gridSpan w:val="2"/>
            <w:vMerge w:val="restart"/>
            <w:tcBorders>
              <w:tl2br w:val="nil"/>
              <w:tr2bl w:val="nil"/>
            </w:tcBorders>
            <w:vAlign w:val="center"/>
          </w:tcPr>
          <w:p>
            <w:pPr>
              <w:spacing w:line="240" w:lineRule="auto"/>
              <w:ind w:right="-2" w:rightChars="-1"/>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七</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第三十一条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违反本规定，施工总承包单位未履行第二十一条第（一）、（三）、（四）、（五）、（七）项安全职责的，由县级以上地方人民政府建设主管部门责令限期改正，予以警告，并处以5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第二十一条　施工总承包单位应当履行下列安全职责：</w:t>
            </w:r>
          </w:p>
          <w:p>
            <w:pPr>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（七）施工现场有多台塔式起重机作业时，应当组织制定并实施防止塔式起重机相互碰撞的安全措施。</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施工现场应当组织制定并实施防止相互碰撞的安全措施的塔式起重机有2台的。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施工现场应当组织制定并实施防止相互碰撞的安全措施的塔式起重机有3台的。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施工现场应当组织制定并实施防止相互碰撞的安全措施的塔式起重机有4台以上；或造成一定后果影响的。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190</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监理单位未审核建筑起重机械特种设备制造许可证、产品合格证、制造监督检验证明、备案证明等文件的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第三十二条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违反本规定，监理单位未履行第二十二条第（一）、（二）、（四）、（五）项安全职责的，由县级以上地方人民政府建设主管部门责令限期改正，予以警告，并处以5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监理单位应当履行下列安全职责：</w:t>
            </w:r>
          </w:p>
          <w:p>
            <w:pPr>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（一）审核建筑起重机械特种设备制造许可证、产品合格证、制造监督检验证明、备案证明等文件；</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安装单位、使用单位的建筑起重机械特种设备制造许可证、产品合格证、制造监督检验证明、备案证明等文件合乎要求，监理单位未审核的。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安装单位、使用单位的建筑起重机械特种设备制造许可证、产品合格证、制造监督检验证明、备案证明等文件不全，监理单位未审核的。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安装单位、使用单位无建筑起重机械特种设备制造许可证、产品合格证、制造监督检验证明、备案证明等文件，监理单位未审核的。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191</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监理单位未审核建筑起重机械安装单位、使用单位的资质证书、安全生产许可证和特种作业人员的特种作业操作资格证书的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第三十二条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违反本规定，监理单位未履行第二十二条第（一）、（二）、（四）、（五）项安全职责的，由县级以上地方人民政府建设主管部门责令限期改正，予以警告，并处以5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监理单位应当履行下列安全职责：</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（二）审核建筑起重机械安装单位、使用单位的资质证书、安全生产许可证和特种作业人员的特种作业操作资格证书；</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安装单位、使用单位的资质证书、安全生产许可证和特种作业人员的特种作业操作资格证书合乎要求，监理单位未审核的。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安装单位、使用单位的资质证书、安全生产许可证和特种作业人员的特种作业操作资格证书不全，监理单位未审核的。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安装单位、使用单位无资质证书、安全生产许可证和特种作业人员无特种作业操作资格证书，监理单位未审核的。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192</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监理单位未监督安装单位执行建筑起重机械安装、拆卸工程专项施工方案情况的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第三十二条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违反本规定，监理单位未履行第二十二条第（一）、（二）、（四）、（五）项安全职责的，由县级以上地方人民政府建设主管部门责令限期改正，予以警告，并处以5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监理单位应当履行下列安全职责：</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（四）监督安装单位执行建筑起重机械安装、拆卸工程专项施工方案情况；</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监理单位未监督安装单位执行1台建筑起重机械安装、拆卸工程专项施工方案情况的。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监理单位未监督安装单位执行2台建筑起重机械安装、拆卸工程专项施工方案情况的。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监理单位未监督安装单位执行3台以上建筑起重机械安装、拆卸工程专项施工方案情况；或造成一定后果影响的。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193</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监理单位未监督检查建筑起重机械的使用情况的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五</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第三十二条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违反本规定，监理单位未履行第二十二条第（一）、（二）、（四）、（五）项安全职责的，由县级以上地方人民政府建设主管部门责令限期改正，予以警告，并处以5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监理单位应当履行下列安全职责：</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（五）监督检查建筑起重机械的使用情况；</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监理单位未履行监督检查，但使用情况正常的。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监理单位未履行监督检查，且现场存在使用不规范现象的。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监理单位未履行监督检查，且出现较大安全隐患或造成安全事故的。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194</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建设单位未按照规定协调组织制定防止多台塔式起重机相互碰撞的安全措施的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第三十三条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第三十三条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违反本规定，建设单位有下列行为之一的，由县级以上地方人民政府建设主管部门责令限期改正，予以警告，并处以5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元以上3万元以下罚款；逾期未改的，责令停止施工：</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（一）未按照规定协调组织制定防止多台塔式起重机相互碰撞的安全措施的；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未按照规定协调组织制定防止2台塔式起重机相互碰撞的安全措施的。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未按照规定协调组织制定防止3台塔式起重机相互碰撞的安全措施的。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未按照规定协调组织制定防止4台以上塔式起重机相互碰撞的安全措施的；或造成一定后果影响的。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195</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建设单位在接到监理单位报告后，未责令安装单位、使用单位立即停工整改的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第二十三条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第三十三条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违反本规定，建设单位有下列行为之一的，由县级以上地方人民政府建设主管部门责令限期改正，予以警告，并处以5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元以上3万元以下罚款；逾期未改的，责令停止施工：</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（二）接到监理单位报告后，未责令安装单位、使用单位立即停工整改的。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196</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建设单位有下列情形的：（一）未按照本规定提供工程周边环境等资料的；</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（二）未按照本规定在招标文件中列出危大工程清单的；</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（三）未按照施工合同约定及时支付危大工程施工技术措施费或者相应的安全防护文明施工措施费的；</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（四）未按照本规定委托具有相应勘察资质的单位进行第三方监测的；</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（五）未对第三方监测单位报告的异常情况组织采取处置措施的。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《危险性较大的分部分项工程安全管理规定》第五条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《危险性较大的分部分项工程安全管理规定》第二十九条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建设单位有下列行为之一的，责令限期改正，并处1万元以上3万元以下的罚款；对直接负责的主管人员和其他直接责任人员处1000元以上5000元以下的罚款：</w:t>
            </w:r>
          </w:p>
          <w:p>
            <w:pPr>
              <w:widowControl/>
              <w:shd w:val="clear" w:color="auto" w:fill="FFFFFF"/>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（一）未按照本规定提供工程周边环境等资料的；</w:t>
            </w:r>
          </w:p>
          <w:p>
            <w:pPr>
              <w:widowControl/>
              <w:shd w:val="clear" w:color="auto" w:fill="FFFFFF"/>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（二）未按照本规定在招标文件中列出危大工程清单的；</w:t>
            </w:r>
          </w:p>
          <w:p>
            <w:pPr>
              <w:widowControl/>
              <w:shd w:val="clear" w:color="auto" w:fill="FFFFFF"/>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（三）未按照施工合同约定及时支付危大工程施工技术措施费或者相应的安全防护文明施工措施费的；</w:t>
            </w:r>
          </w:p>
          <w:p>
            <w:pPr>
              <w:widowControl/>
              <w:shd w:val="clear" w:color="auto" w:fill="FFFFFF"/>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（四）未按照本规定委托具有相应勘察资质的单位进行第三方监测的；</w:t>
            </w:r>
          </w:p>
          <w:p>
            <w:pPr>
              <w:widowControl/>
              <w:shd w:val="clear" w:color="auto" w:fill="FFFFFF"/>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（五）未对第三方监测单位报告的异常情况组织采取处置措施的。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责令限期改正，对建设单位处1万元以上1.5万元以下的罚款；对直接负责的主管人员和其他直接责任人员处1千元以上2千元以下的罚款。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1"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责令限期改正，对建设单位处1.5万元以上2.5万元以下的罚款；对直接负责的主管人员和其他直接责任人员处2千元以上3千元以下的罚款。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责令限期改正，对建设单位处2.5万元以上3万元以下的罚款；对直接负责的主管人员和其他直接责任人员处3千元以上5千元以下的罚款。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197</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勘察单位未在勘察文件中说明地质条件可能造成的工程风险</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《危险性较大的分部分项工程安全管理规定》》第六条</w:t>
            </w:r>
          </w:p>
        </w:tc>
        <w:tc>
          <w:tcPr>
            <w:tcW w:w="4354" w:type="dxa"/>
            <w:gridSpan w:val="4"/>
            <w:vMerge w:val="restart"/>
            <w:tcBorders>
              <w:tl2br w:val="nil"/>
              <w:tr2bl w:val="nil"/>
            </w:tcBorders>
            <w:vAlign w:val="center"/>
          </w:tcPr>
          <w:p>
            <w:pPr>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p>
          <w:p>
            <w:pPr>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《危险性较大的分部分项工程安全管理规定》》第三十条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勘察单位未在勘察文件中说明地质条件可能造成的工程风险的，责令限期改正，依照《建设工程安全生产管理条例》对单位进行处罚；对直接负责的主管人员和其他直接责任人员处1000元以上5000元以下的罚款。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责令限期改正，对直接负责的主管人员和其他直接责任人员处2千元以上4千元以下的罚款。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责令限期改正，对直接负责的主管人员和其他直接责任人员处4千元以上5千元以下的罚款。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198</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设计单位未在设计文件中注明涉及危大工程的重点部位和环节，未提出保障工程周边环境安全和工程施工安全的意见</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《危险性较大的分部分项工程安全管理规定》第六条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《危险性较大的分部分项工程安全管理规定》第三十一条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单位未在设计文件中注明涉及危大工程的重点部位和环节，未提出保障工程周边环境安全和工程施工安全的意见的，责令限期改正，并处1万元以上3万元以下的罚款；对直接负责的主管人员和其他直接责任人员处1000元以上5000元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责令限期改正，对设计单位处1万元以上1.5万元以下的罚款；对直接负责的主管人员和其他直接责任人员处1千元以上2千元以下的罚款。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责令限期改正，对设计单位处1.5万元以上2.5万元以下的罚款；对直接负责的主管人员和其他直接责任人员处2千元以上3千元以下的罚款。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责令限期改正，对设计单位处2.5万元以上3万元以下的罚款；对直接负责的主管人员和其他直接责任人员处3千元以上5千元以下的罚款。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199</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施工单位有下列行为之一的：</w:t>
            </w:r>
          </w:p>
          <w:p>
            <w:pPr>
              <w:widowControl/>
              <w:shd w:val="clear" w:color="auto" w:fill="FFFFFF"/>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（一）未对超过一定规模的危大工程专项施工方案进行专家论证的；</w:t>
            </w:r>
          </w:p>
          <w:p>
            <w:pPr>
              <w:widowControl/>
              <w:shd w:val="clear" w:color="auto" w:fill="FFFFFF"/>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（二）未根据专家论证报告对超过一定规模的危大工程专项施工方案进行修改，或者未按照本规定重新组织专家论证的；</w:t>
            </w:r>
          </w:p>
          <w:p>
            <w:pPr>
              <w:widowControl/>
              <w:shd w:val="clear" w:color="auto" w:fill="FFFFFF"/>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（三）未严格按照专项施工方案组织施工，或者擅自修改专项施工方案的。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《危险性较大的分部分项工程安全管理规定》第十二条</w:t>
            </w:r>
          </w:p>
        </w:tc>
        <w:tc>
          <w:tcPr>
            <w:tcW w:w="4354" w:type="dxa"/>
            <w:gridSpan w:val="4"/>
            <w:vMerge w:val="restart"/>
            <w:tcBorders>
              <w:tl2br w:val="nil"/>
              <w:tr2bl w:val="nil"/>
            </w:tcBorders>
            <w:vAlign w:val="center"/>
          </w:tcPr>
          <w:p>
            <w:pPr>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《危险性较大的分部分项工程安全管理规定》第三十四条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施工单位有下列行为之一的，责令限期改正，处1万元以上3万元以下的罚款，并暂扣安全生产许可证30日；对直接负责的主管人员和其他直接责任人员处1000元以上5000元以下的罚款：</w:t>
            </w:r>
          </w:p>
          <w:p>
            <w:pPr>
              <w:widowControl/>
              <w:shd w:val="clear" w:color="auto" w:fill="FFFFFF"/>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（一）未对超过一定规模的危大工程专项施工方案进行专家论证的；</w:t>
            </w:r>
          </w:p>
          <w:p>
            <w:pPr>
              <w:widowControl/>
              <w:shd w:val="clear" w:color="auto" w:fill="FFFFFF"/>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（二）未根据专家论证报告对超过一定规模的危大工程专项施工方案进行修改，或者未按照本规定重新组织专家论证的；</w:t>
            </w:r>
          </w:p>
          <w:p>
            <w:pPr>
              <w:widowControl/>
              <w:shd w:val="clear" w:color="auto" w:fill="FFFFFF"/>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（三）未严格按照专项施工方案组织施工，或者擅自修改专项施工方案的。</w:t>
            </w:r>
          </w:p>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责令限期改正，对施工单位处1万元以上1.5万元以下的罚款；并暂扣安全生产许可证30日；对直接负责的主管人员和其他直接责任人员处1千元以上2千元以下的罚款。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责令限期改正，对施工单位处1.5万元以上2万元以下的罚款；并暂扣安全生产许可证30日；对直接负责的主管人员和其他直接责任人员处2千元以上3千元以下的罚款。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责令限期改正，对施工单位处2万元以上3万元以下的罚款；并暂扣安全生产许可证30日；对直接负责的主管人员和其他直接责任人员处3千元以上5千元以下的罚款。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200</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施工单位有下列行为之一的：</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（一）项目负责人未按照本规定现场履职或者组织限期整改的；</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（二）施工单位未按照本规定进行施工监测和安全巡视的；</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（三）未按照本规定组织危大工程验收的；</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（四）发生险情或者事故时，未采取应急处置措施的；</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（五）未按照本规定建立危大工程安全管理档案的。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《危险性较大的分部分项工程安全管理规定》第十七条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《危险性较大的分部分项工程安全管理规定》第三十五条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施工单位有下列行为之一的，责令限期改正，并处1万元以上3万元以下的罚款；对直接负责的主管人员和其他直接责任人员处1000元以上5000元以下的罚款：</w:t>
            </w:r>
          </w:p>
          <w:p>
            <w:pPr>
              <w:widowControl/>
              <w:shd w:val="clear" w:color="auto" w:fill="FFFFFF"/>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（一）项目负责人未按照本规定现场履职或者组织限期整改的；</w:t>
            </w:r>
          </w:p>
          <w:p>
            <w:pPr>
              <w:widowControl/>
              <w:shd w:val="clear" w:color="auto" w:fill="FFFFFF"/>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（二）施工单位未按照本规定进行施工监测和安全巡视的；</w:t>
            </w:r>
          </w:p>
          <w:p>
            <w:pPr>
              <w:widowControl/>
              <w:shd w:val="clear" w:color="auto" w:fill="FFFFFF"/>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（三）未按照本规定组织危大工程验收的；</w:t>
            </w:r>
          </w:p>
          <w:p>
            <w:pPr>
              <w:widowControl/>
              <w:shd w:val="clear" w:color="auto" w:fill="FFFFFF"/>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（四）发生险情或者事故时，未采取应急处置措施的；</w:t>
            </w:r>
          </w:p>
          <w:p>
            <w:pPr>
              <w:widowControl/>
              <w:shd w:val="clear" w:color="auto" w:fill="FFFFFF"/>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（五）未按照本规定建立危大工程安全管理档案的。</w:t>
            </w:r>
          </w:p>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责令限期改正，对施工单位处1万元以上1.5万元以下的罚款；对直接负责的主管人员和其他直接责任人员处1千元以上2千元以下的罚款。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责令限期改正，对施工单位处1.5万元以上2.5万元以下的罚款；对直接负责的主管人员和其他直接责任人员处2千元以上3千元以下的罚款。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责令限期改正，对施工单位处2.5万元以上3万元以下的罚款；对直接负责的主管人员和其他直接责任人员处3千元以上5千元以下的罚款。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201</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监理单位发现施工单位未按照专项施工方案实施，未要求其整改或者停工的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《危险性较大的分部分项工程安全管理规定》第十条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《危险性较大的分部分项工程安全管理规定》第三十六条第二项</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监理单位有下列行为之一的，依照《中华人民共和国安全生产法》《建设工程安全生产管理条例》对单位进行处罚；对直接负责的主管人员和其他直接责任人员处1000元以上5000元以下的罚款：</w:t>
            </w: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（二）发现施工单位未按照专项施工方案实施，未要求其整改或者停工的；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202</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监理单位有下列行为之一的：</w:t>
            </w:r>
          </w:p>
          <w:p>
            <w:pPr>
              <w:pStyle w:val="11"/>
              <w:shd w:val="clear" w:color="auto" w:fill="FFFFFF"/>
              <w:spacing w:before="0" w:beforeAutospacing="0" w:after="0" w:afterAutospacing="0" w:line="240" w:lineRule="auto"/>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（一）未按照本规定编制监理实施细则的；</w:t>
            </w:r>
          </w:p>
          <w:p>
            <w:pPr>
              <w:pStyle w:val="11"/>
              <w:shd w:val="clear" w:color="auto" w:fill="FFFFFF"/>
              <w:spacing w:before="0" w:beforeAutospacing="0" w:after="0" w:afterAutospacing="0" w:line="240" w:lineRule="auto"/>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（二）未对危大工程施工实施专项巡视检查的；</w:t>
            </w:r>
          </w:p>
          <w:p>
            <w:pPr>
              <w:pStyle w:val="11"/>
              <w:shd w:val="clear" w:color="auto" w:fill="FFFFFF"/>
              <w:spacing w:before="0" w:beforeAutospacing="0" w:after="0" w:afterAutospacing="0" w:line="240" w:lineRule="auto"/>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（三）未按照本规定参与组织危大工程验收的；</w:t>
            </w:r>
          </w:p>
          <w:p>
            <w:pPr>
              <w:pStyle w:val="11"/>
              <w:shd w:val="clear" w:color="auto" w:fill="FFFFFF"/>
              <w:spacing w:before="0" w:beforeAutospacing="0" w:after="0" w:afterAutospacing="0" w:line="240" w:lineRule="auto"/>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（四）未按照本规定建立危大工程安全管理档案的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《危险性较大的分部分项工程安全管理规定》第十八条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《危险性较大的分部分项工程安全管理规定》第三十七条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监理单位有下列行为之一的，责令限期改正，并处1万元以上3万元以下的罚款；对直接负责的主管人员和其他直接责任人员处1000元以上5000元以下的罚款：</w:t>
            </w:r>
          </w:p>
          <w:p>
            <w:pPr>
              <w:pStyle w:val="11"/>
              <w:shd w:val="clear" w:color="auto" w:fill="FFFFFF"/>
              <w:spacing w:before="0" w:beforeAutospacing="0" w:after="0" w:afterAutospacing="0" w:line="240" w:lineRule="auto"/>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（一）未按照本规定编制监理实施细则的；</w:t>
            </w:r>
          </w:p>
          <w:p>
            <w:pPr>
              <w:pStyle w:val="11"/>
              <w:shd w:val="clear" w:color="auto" w:fill="FFFFFF"/>
              <w:spacing w:before="0" w:beforeAutospacing="0" w:after="0" w:afterAutospacing="0" w:line="240" w:lineRule="auto"/>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（二）未对危大工程施工实施专项巡视检查的；</w:t>
            </w:r>
          </w:p>
          <w:p>
            <w:pPr>
              <w:pStyle w:val="11"/>
              <w:shd w:val="clear" w:color="auto" w:fill="FFFFFF"/>
              <w:spacing w:before="0" w:beforeAutospacing="0" w:after="0" w:afterAutospacing="0" w:line="240" w:lineRule="auto"/>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（三）未按照本规定参与组织危大工程验收的；</w:t>
            </w:r>
          </w:p>
          <w:p>
            <w:pPr>
              <w:pStyle w:val="11"/>
              <w:shd w:val="clear" w:color="auto" w:fill="FFFFFF"/>
              <w:spacing w:before="0" w:beforeAutospacing="0" w:after="0" w:afterAutospacing="0" w:line="240" w:lineRule="auto"/>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（四）未按照本规定建立危大工程安全管理档案的。</w:t>
            </w:r>
          </w:p>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责令限期改正，对监理单位处1万元以上1.5万元以下的罚款；对直接负责的主管人员和其他直接责任人员处1千元以上2千元以下的罚款。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责令限期改正，对监理单位处1.5万元以上2.5万元以下的罚款；对直接负责的主管人员和其他直接责任人员处2千元以上3千元以下的罚款。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责令限期改正，对监理单位处2.5万元以上3万元以下的罚款；对直接负责的主管人员和其他直接责任人员处3千元以上5千元以下的罚款。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203</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监测单位有下列行为之一的：（一）未取得相应勘察资质从事第三方监测的；（二）未按照本规定编制监测方案的；（三）未按照监测方案开展监测的（四）发现异常未及时报告的</w:t>
            </w:r>
          </w:p>
        </w:tc>
        <w:tc>
          <w:tcPr>
            <w:tcW w:w="1128" w:type="dxa"/>
            <w:gridSpan w:val="2"/>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《危险性较大的分部分项工程安全管理规定》第二十条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p>
          <w:p>
            <w:pPr>
              <w:spacing w:line="240" w:lineRule="auto"/>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《危险性较大的分部分项工程安全管理规定》第三十八条</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监测单位有下列行为之一的，责令限期改正，并处1万元以上3万元以下的罚款；对直接负责的主管人员和其他直接责任人员处1000元以上5000元以下的罚款：</w:t>
            </w:r>
          </w:p>
          <w:p>
            <w:pPr>
              <w:pStyle w:val="11"/>
              <w:shd w:val="clear" w:color="auto" w:fill="FFFFFF"/>
              <w:spacing w:before="0" w:beforeAutospacing="0" w:after="0" w:afterAutospacing="0" w:line="240" w:lineRule="auto"/>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（一）未取得相应勘察资质从事第三方监测的；</w:t>
            </w:r>
          </w:p>
          <w:p>
            <w:pPr>
              <w:pStyle w:val="11"/>
              <w:shd w:val="clear" w:color="auto" w:fill="FFFFFF"/>
              <w:spacing w:before="0" w:beforeAutospacing="0" w:after="0" w:afterAutospacing="0" w:line="240" w:lineRule="auto"/>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（二）未按照本规定编制监测方案的；</w:t>
            </w:r>
          </w:p>
          <w:p>
            <w:pPr>
              <w:pStyle w:val="11"/>
              <w:shd w:val="clear" w:color="auto" w:fill="FFFFFF"/>
              <w:spacing w:before="0" w:beforeAutospacing="0" w:after="0" w:afterAutospacing="0" w:line="240" w:lineRule="auto"/>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（三）未按照监测方案开展监测的；</w:t>
            </w:r>
          </w:p>
          <w:p>
            <w:pPr>
              <w:pStyle w:val="11"/>
              <w:shd w:val="clear" w:color="auto" w:fill="FFFFFF"/>
              <w:spacing w:before="0" w:beforeAutospacing="0" w:after="0" w:afterAutospacing="0" w:line="240" w:lineRule="auto"/>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（四）发现异常未及时报告的。</w:t>
            </w:r>
          </w:p>
          <w:p>
            <w:pPr>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责令限期改正，对监测单位处1万元以上1.5万元以下的罚款；对直接负责的主管人员和其他直接责任人员处1千元以上2千元以下的罚款。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责令限期改正，对监测单位处1.5万元以上2.5万元以下的罚款；对直接负责的主管人员和其他直接责任人员处2千元以上3千元以下的罚款。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086" w:type="dxa"/>
            <w:gridSpan w:val="3"/>
            <w:tcBorders>
              <w:tl2br w:val="nil"/>
              <w:tr2bl w:val="nil"/>
            </w:tcBorders>
            <w:vAlign w:val="center"/>
          </w:tcPr>
          <w:p>
            <w:pPr>
              <w:widowControl/>
              <w:spacing w:line="240" w:lineRule="auto"/>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widowControl/>
              <w:spacing w:line="240" w:lineRule="auto"/>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p>
            <w:pPr>
              <w:widowControl/>
              <w:spacing w:line="240" w:lineRule="auto"/>
              <w:rPr>
                <w:rFonts w:ascii="仿宋_GB2312" w:hAnsi="宋体" w:eastAsia="仿宋_GB2312"/>
                <w:color w:val="000000" w:themeColor="text1"/>
                <w:kern w:val="0"/>
                <w:szCs w:val="21"/>
                <w14:textFill>
                  <w14:solidFill>
                    <w14:schemeClr w14:val="tx1"/>
                  </w14:solidFill>
                </w14:textFill>
              </w:rPr>
            </w:pPr>
          </w:p>
          <w:p>
            <w:pPr>
              <w:widowControl/>
              <w:spacing w:line="240" w:lineRule="auto"/>
              <w:rPr>
                <w:rFonts w:ascii="仿宋_GB2312" w:hAnsi="宋体" w:eastAsia="仿宋_GB2312"/>
                <w:color w:val="000000" w:themeColor="text1"/>
                <w:kern w:val="0"/>
                <w:szCs w:val="21"/>
                <w14:textFill>
                  <w14:solidFill>
                    <w14:schemeClr w14:val="tx1"/>
                  </w14:solidFill>
                </w14:textFill>
              </w:rPr>
            </w:pP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责令限期改正，对监测单位处2.5万元以上3万元以下的罚款；对直接负责的主管人员和其他直接责任人员处3千元以上5千元以下的罚款。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13810" w:type="dxa"/>
            <w:gridSpan w:val="17"/>
            <w:tcBorders>
              <w:tl2br w:val="nil"/>
              <w:tr2bl w:val="nil"/>
            </w:tcBorders>
            <w:vAlign w:val="center"/>
          </w:tcPr>
          <w:p>
            <w:pPr>
              <w:ind w:right="105" w:rightChars="50"/>
              <w:jc w:val="center"/>
              <w:textAlignment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建筑节能类（1</w:t>
            </w:r>
            <w:r>
              <w:rPr>
                <w:rFonts w:ascii="仿宋_GB2312" w:hAnsi="宋体" w:eastAsia="仿宋_GB2312"/>
                <w:b/>
                <w:color w:val="000000" w:themeColor="text1"/>
                <w:kern w:val="0"/>
                <w:szCs w:val="21"/>
                <w14:textFill>
                  <w14:solidFill>
                    <w14:schemeClr w14:val="tx1"/>
                  </w14:solidFill>
                </w14:textFill>
              </w:rPr>
              <w:t>4</w:t>
            </w:r>
            <w:r>
              <w:rPr>
                <w:rFonts w:hint="eastAsia" w:ascii="仿宋_GB2312" w:hAnsi="宋体" w:eastAsia="仿宋_GB2312"/>
                <w:b/>
                <w:color w:val="000000" w:themeColor="text1"/>
                <w:kern w:val="0"/>
                <w:szCs w:val="21"/>
                <w14:textFill>
                  <w14:solidFill>
                    <w14:schemeClr w14:val="tx1"/>
                  </w14:solidFill>
                </w14:textFill>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204</w:t>
            </w:r>
          </w:p>
        </w:tc>
        <w:tc>
          <w:tcPr>
            <w:tcW w:w="1488"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有下列行为之一的：（一）明示或者暗示设计单位、施工单位违反民用建筑节能强制性标准进行设计、施工的；（二）明示或者暗示施工单位使用不符合施工图设计文件要求的墙体材料、保温材料、门窗、采暖制冷系统和照明设备的；（三）采购不符合施工图设计文件要求的墙体材料、保温材料、门窗、采暖制冷系统和照明设备的；（四）使用列入禁止使用目录的技术、工艺、材料和设备的</w:t>
            </w:r>
          </w:p>
        </w:tc>
        <w:tc>
          <w:tcPr>
            <w:tcW w:w="1062"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《民用建筑节能条例》第十一条第三款、第十四条</w:t>
            </w:r>
          </w:p>
        </w:tc>
        <w:tc>
          <w:tcPr>
            <w:tcW w:w="4247"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《民用建筑节能条例》第三十七条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违反本条例规定，建设单位有下列行为之一的，由县级以上地方人民政府建设主管部门责令改正，处20万元以上50万元以下的罚款：</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（一）明示或者暗示设计单位、施工单位违反民用建筑节能强制性标准进行设计、施工的；</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（二）明示或者暗示施工单位使用不符合施工图设计文件要求的墙体材料、保温材料、门窗、采暖制冷系统和照明设备的；</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（三）采购不符合施工图设计文件要求的墙体材料、保温材料、门窗、采暖制冷系统和照明设备的；</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（四）使用列入禁止使用目录的技术、工艺、材料和设备的。</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初次违法，且涉案建筑面积5000㎡以下，主动消除或减轻违法行为危害后果的。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责令改正，处20万元罚款。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（1）涉案建筑面积5000㎡以上10000㎡以下的。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责令改正，处20万以上</w:t>
            </w:r>
            <w:r>
              <w:rPr>
                <w:rFonts w:ascii="仿宋_GB2312" w:eastAsia="仿宋_GB2312"/>
                <w:color w:val="000000" w:themeColor="text1"/>
                <w:szCs w:val="21"/>
                <w14:textFill>
                  <w14:solidFill>
                    <w14:schemeClr w14:val="tx1"/>
                  </w14:solidFill>
                </w14:textFill>
              </w:rPr>
              <w:t>25</w:t>
            </w:r>
            <w:r>
              <w:rPr>
                <w:rFonts w:hint="eastAsia" w:ascii="仿宋_GB2312" w:hAnsi="宋体" w:eastAsia="仿宋_GB2312"/>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（2）涉案建筑面积10000㎡以上20000㎡以下的。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万以上</w:t>
            </w:r>
            <w:r>
              <w:rPr>
                <w:rFonts w:ascii="仿宋_GB2312" w:eastAsia="仿宋_GB2312"/>
                <w:color w:val="000000" w:themeColor="text1"/>
                <w:szCs w:val="21"/>
                <w14:textFill>
                  <w14:solidFill>
                    <w14:schemeClr w14:val="tx1"/>
                  </w14:solidFill>
                </w14:textFill>
              </w:rPr>
              <w:t>30</w:t>
            </w:r>
            <w:r>
              <w:rPr>
                <w:rFonts w:hint="eastAsia" w:ascii="仿宋_GB2312" w:hAnsi="宋体" w:eastAsia="仿宋_GB2312"/>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（3）涉案建筑面积20000㎡以上30000㎡以下的。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万以上</w:t>
            </w:r>
            <w:r>
              <w:rPr>
                <w:rFonts w:ascii="仿宋_GB2312" w:eastAsia="仿宋_GB2312"/>
                <w:color w:val="000000" w:themeColor="text1"/>
                <w:szCs w:val="21"/>
                <w14:textFill>
                  <w14:solidFill>
                    <w14:schemeClr w14:val="tx1"/>
                  </w14:solidFill>
                </w14:textFill>
              </w:rPr>
              <w:t>35</w:t>
            </w:r>
            <w:r>
              <w:rPr>
                <w:rFonts w:hint="eastAsia" w:ascii="仿宋_GB2312" w:hAnsi="宋体" w:eastAsia="仿宋_GB2312"/>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2年内2次及以上同类型违法的；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经责令改正后，拒绝采取措施改正的；</w:t>
            </w:r>
            <w:r>
              <w:rPr>
                <w:rFonts w:hint="eastAsia" w:ascii="仿宋" w:hAnsi="仿宋" w:eastAsia="仿宋"/>
                <w:color w:val="000000" w:themeColor="text1"/>
                <w:kern w:val="0"/>
                <w:szCs w:val="21"/>
                <w14:textFill>
                  <w14:solidFill>
                    <w14:schemeClr w14:val="tx1"/>
                  </w14:solidFill>
                </w14:textFill>
              </w:rPr>
              <w:t>③</w:t>
            </w:r>
            <w:r>
              <w:rPr>
                <w:rFonts w:hint="eastAsia" w:ascii="仿宋_GB2312" w:hAnsi="宋体" w:eastAsia="仿宋_GB2312"/>
                <w:color w:val="000000" w:themeColor="text1"/>
                <w:kern w:val="0"/>
                <w:szCs w:val="21"/>
                <w14:textFill>
                  <w14:solidFill>
                    <w14:schemeClr w14:val="tx1"/>
                  </w14:solidFill>
                </w14:textFill>
              </w:rPr>
              <w:t>整改后，仍未达到节能强制性标准规定的；</w:t>
            </w:r>
            <w:r>
              <w:rPr>
                <w:rFonts w:hint="eastAsia" w:ascii="仿宋" w:hAnsi="仿宋" w:eastAsia="仿宋"/>
                <w:color w:val="000000" w:themeColor="text1"/>
                <w:kern w:val="0"/>
                <w:szCs w:val="21"/>
                <w14:textFill>
                  <w14:solidFill>
                    <w14:schemeClr w14:val="tx1"/>
                  </w14:solidFill>
                </w14:textFill>
              </w:rPr>
              <w:t>④</w:t>
            </w:r>
            <w:r>
              <w:rPr>
                <w:rFonts w:hint="eastAsia" w:ascii="仿宋_GB2312" w:hAnsi="宋体" w:eastAsia="仿宋_GB2312"/>
                <w:color w:val="000000" w:themeColor="text1"/>
                <w:kern w:val="0"/>
                <w:szCs w:val="21"/>
                <w14:textFill>
                  <w14:solidFill>
                    <w14:schemeClr w14:val="tx1"/>
                  </w14:solidFill>
                </w14:textFill>
              </w:rPr>
              <w:t>涉案工程面积30000㎡以上的。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责令改正，处35万元以上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8"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）造成重大、特别重大质量安全事故或较大社会影响的。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责令改正，处50万元罚款。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205</w:t>
            </w:r>
          </w:p>
        </w:tc>
        <w:tc>
          <w:tcPr>
            <w:tcW w:w="1488"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建设单位对不符合民用建筑节能强制性标准的民用建筑项目出具竣工验收合格报告的</w:t>
            </w:r>
          </w:p>
        </w:tc>
        <w:tc>
          <w:tcPr>
            <w:tcW w:w="1062"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《民用建筑节能条例》第十七条</w:t>
            </w:r>
          </w:p>
        </w:tc>
        <w:tc>
          <w:tcPr>
            <w:tcW w:w="4247"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《民用建筑节能条例》第三十八条</w:t>
            </w:r>
          </w:p>
          <w:p>
            <w:pPr>
              <w:widowControl/>
              <w:spacing w:line="240" w:lineRule="auto"/>
              <w:ind w:firstLine="210" w:firstLineChars="100"/>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对不符合民用建筑节能强制性标准的民用建筑项目出具竣工验收合格报告的，由县级以上地方人民政府建设主管部门责令改正，处民用建筑项目合同价款2%以上4%以下的罚款；造成损失的，依法承担赔偿责任。</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责令改正，处民用建筑项目合同价款</w:t>
            </w:r>
            <w:r>
              <w:rPr>
                <w:rFonts w:hint="eastAsia" w:ascii="仿宋_GB2312" w:eastAsia="仿宋_GB2312"/>
                <w:color w:val="000000" w:themeColor="text1"/>
                <w:szCs w:val="21"/>
                <w14:textFill>
                  <w14:solidFill>
                    <w14:schemeClr w14:val="tx1"/>
                  </w14:solidFill>
                </w14:textFill>
              </w:rPr>
              <w:t>百分之二</w:t>
            </w:r>
            <w:r>
              <w:rPr>
                <w:rFonts w:hint="eastAsia" w:ascii="仿宋_GB2312" w:hAnsi="宋体" w:eastAsia="仿宋_GB2312"/>
                <w:color w:val="000000" w:themeColor="text1"/>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责令改正，处民用建筑项目合同价款百分之二以上百分之三以下的罚款。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（1）2年内2次及以上同类型违法的；（2）经责令改正后，拒绝采取措施改正的；（</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）造成较大以上质量安全事故或较大社会影响的。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责令改正，处民用建筑项目合同价款</w:t>
            </w:r>
            <w:r>
              <w:rPr>
                <w:rFonts w:hint="eastAsia" w:ascii="仿宋_GB2312" w:eastAsia="仿宋_GB2312"/>
                <w:color w:val="000000" w:themeColor="text1"/>
                <w:szCs w:val="21"/>
                <w14:textFill>
                  <w14:solidFill>
                    <w14:schemeClr w14:val="tx1"/>
                  </w14:solidFill>
                </w14:textFill>
              </w:rPr>
              <w:t>百分之三以上</w:t>
            </w:r>
            <w:r>
              <w:rPr>
                <w:rFonts w:ascii="仿宋_GB2312" w:eastAsia="仿宋_GB2312"/>
                <w:color w:val="000000" w:themeColor="text1"/>
                <w:szCs w:val="21"/>
                <w14:textFill>
                  <w14:solidFill>
                    <w14:schemeClr w14:val="tx1"/>
                  </w14:solidFill>
                </w14:textFill>
              </w:rPr>
              <w:t>百分之四点</w:t>
            </w:r>
            <w:r>
              <w:rPr>
                <w:rFonts w:hint="eastAsia" w:ascii="仿宋_GB2312" w:eastAsia="仿宋_GB2312"/>
                <w:color w:val="000000" w:themeColor="text1"/>
                <w:szCs w:val="21"/>
                <w14:textFill>
                  <w14:solidFill>
                    <w14:schemeClr w14:val="tx1"/>
                  </w14:solidFill>
                </w14:textFill>
              </w:rPr>
              <w:t>以下</w:t>
            </w:r>
            <w:r>
              <w:rPr>
                <w:rFonts w:hint="eastAsia" w:ascii="仿宋_GB2312" w:hAnsi="宋体" w:eastAsia="仿宋_GB2312"/>
                <w:color w:val="000000" w:themeColor="text1"/>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206</w:t>
            </w:r>
          </w:p>
        </w:tc>
        <w:tc>
          <w:tcPr>
            <w:tcW w:w="1488"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设计单位未按照民用建筑节能强制性标准进行设计，或者使用列入禁止使用目录的技术、工艺、材料和设备的</w:t>
            </w:r>
          </w:p>
        </w:tc>
        <w:tc>
          <w:tcPr>
            <w:tcW w:w="1062"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《民用建筑节能条例》第十一条第三款、第十五条</w:t>
            </w:r>
          </w:p>
        </w:tc>
        <w:tc>
          <w:tcPr>
            <w:tcW w:w="4247"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《民用建筑节能条例》第三十九条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（1）同一项目中，未按照1条民用建筑节能强制性标准进行设计的；（2）使用1种列入禁止使用目录的技术、工艺、材料和设备的。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hint="eastAsia" w:ascii="仿宋_GB2312" w:eastAsia="仿宋_GB2312"/>
                <w:color w:val="000000" w:themeColor="text1"/>
                <w:szCs w:val="21"/>
                <w14:textFill>
                  <w14:solidFill>
                    <w14:schemeClr w14:val="tx1"/>
                  </w14:solidFill>
                </w14:textFill>
              </w:rPr>
              <w:t>10</w:t>
            </w:r>
            <w:r>
              <w:rPr>
                <w:rFonts w:hint="eastAsia" w:ascii="仿宋_GB2312" w:hAnsi="宋体" w:eastAsia="仿宋_GB2312"/>
                <w:color w:val="000000" w:themeColor="text1"/>
                <w:szCs w:val="21"/>
                <w14:textFill>
                  <w14:solidFill>
                    <w14:schemeClr w14:val="tx1"/>
                  </w14:solidFill>
                </w14:textFill>
              </w:rPr>
              <w:t>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4"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（1）同一项目中，未按照</w:t>
            </w:r>
            <w:r>
              <w:rPr>
                <w:rFonts w:ascii="仿宋_GB2312" w:hAnsi="宋体" w:eastAsia="仿宋_GB2312"/>
                <w:color w:val="000000" w:themeColor="text1"/>
                <w:szCs w:val="21"/>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条民用建筑节能强制性标准进行设计的；（2）使用</w:t>
            </w:r>
            <w:r>
              <w:rPr>
                <w:rFonts w:ascii="仿宋_GB2312" w:hAnsi="宋体" w:eastAsia="仿宋_GB2312"/>
                <w:color w:val="000000" w:themeColor="text1"/>
                <w:szCs w:val="21"/>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种列入禁止使用目录的技术、工艺、材料和设备的。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0万元以上</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0"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条以上5条以下民用建筑节能强制性标准进行设计的；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使用</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 xml:space="preserve">至5种列入禁止使用目录的技术、工艺、材料和设备的； </w:t>
            </w:r>
            <w:r>
              <w:rPr>
                <w:rFonts w:hint="eastAsia" w:ascii="仿宋" w:hAnsi="仿宋" w:eastAsia="仿宋"/>
                <w:color w:val="000000" w:themeColor="text1"/>
                <w:kern w:val="0"/>
                <w:szCs w:val="21"/>
                <w14:textFill>
                  <w14:solidFill>
                    <w14:schemeClr w14:val="tx1"/>
                  </w14:solidFill>
                </w14:textFill>
              </w:rPr>
              <w:t>③</w:t>
            </w:r>
            <w:r>
              <w:rPr>
                <w:rFonts w:hint="eastAsia" w:ascii="仿宋_GB2312" w:hAnsi="宋体" w:eastAsia="仿宋_GB2312"/>
                <w:color w:val="000000" w:themeColor="text1"/>
                <w:kern w:val="0"/>
                <w:szCs w:val="21"/>
                <w14:textFill>
                  <w14:solidFill>
                    <w14:schemeClr w14:val="tx1"/>
                  </w14:solidFill>
                </w14:textFill>
              </w:rPr>
              <w:t>2次违反民用建筑节能强制性标准进行设计或者使用列入禁止使用目录的技术、工艺、材料和设备的。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处30万元罚款，由颁发资质证书的部门责令停业整顿</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0</w:t>
            </w:r>
            <w:r>
              <w:rPr>
                <w:rFonts w:ascii="仿宋_GB2312" w:hAnsi="宋体" w:eastAsia="仿宋_GB2312"/>
                <w:color w:val="000000" w:themeColor="text1"/>
                <w:kern w:val="0"/>
                <w:szCs w:val="21"/>
                <w14:textFill>
                  <w14:solidFill>
                    <w14:schemeClr w14:val="tx1"/>
                  </w14:solidFill>
                </w14:textFill>
              </w:rPr>
              <w:t>-60</w:t>
            </w:r>
            <w:r>
              <w:rPr>
                <w:rFonts w:hint="eastAsia" w:ascii="仿宋_GB2312" w:hAnsi="宋体" w:eastAsia="仿宋_GB2312"/>
                <w:color w:val="000000" w:themeColor="text1"/>
                <w:kern w:val="0"/>
                <w:szCs w:val="21"/>
                <w14:textFill>
                  <w14:solidFill>
                    <w14:schemeClr w14:val="tx1"/>
                  </w14:solidFill>
                </w14:textFill>
              </w:rPr>
              <w:t>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同一项目中，未按照5条以上10条以下民用建筑节能强制性标准进行设计的；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使用5至10种列入禁止使用目录的技术、工艺、材料和设备的；</w:t>
            </w:r>
            <w:r>
              <w:rPr>
                <w:rFonts w:hint="eastAsia" w:ascii="仿宋" w:hAnsi="仿宋" w:eastAsia="仿宋"/>
                <w:color w:val="000000" w:themeColor="text1"/>
                <w:kern w:val="0"/>
                <w:szCs w:val="21"/>
                <w14:textFill>
                  <w14:solidFill>
                    <w14:schemeClr w14:val="tx1"/>
                  </w14:solidFill>
                </w14:textFill>
              </w:rPr>
              <w:t>③</w:t>
            </w:r>
            <w:r>
              <w:rPr>
                <w:rFonts w:hint="eastAsia" w:ascii="仿宋_GB2312" w:hAnsi="宋体" w:eastAsia="仿宋_GB2312"/>
                <w:color w:val="000000" w:themeColor="text1"/>
                <w:kern w:val="0"/>
                <w:szCs w:val="21"/>
                <w14:textFill>
                  <w14:solidFill>
                    <w14:schemeClr w14:val="tx1"/>
                  </w14:solidFill>
                </w14:textFill>
              </w:rPr>
              <w:t>3次违反民用建筑节能强制性标准进行设计或者使用列入禁止使用目录的技术、工艺、材料和设备的。</w:t>
            </w:r>
          </w:p>
        </w:tc>
        <w:tc>
          <w:tcPr>
            <w:tcW w:w="3232" w:type="dxa"/>
            <w:tcBorders>
              <w:tl2br w:val="nil"/>
              <w:tr2bl w:val="nil"/>
            </w:tcBorders>
            <w:shd w:val="clear" w:color="000000" w:fill="FFFFFF"/>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处30万元罚款，由颁发资质证书的部门降低资质等级。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9"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115" w:type="dxa"/>
            <w:gridSpan w:val="4"/>
            <w:tcBorders>
              <w:tl2br w:val="nil"/>
              <w:tr2bl w:val="nil"/>
            </w:tcBorders>
            <w:shd w:val="clear" w:color="000000" w:fill="FFFFFF"/>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同一项目中，未按照10条以上民用建筑节能强制性标准进行设计的；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使用10种以上列入禁止使用目录的技术、工艺、材料和设备；</w:t>
            </w:r>
            <w:r>
              <w:rPr>
                <w:rFonts w:hint="eastAsia" w:ascii="仿宋" w:hAnsi="仿宋" w:eastAsia="仿宋"/>
                <w:color w:val="000000" w:themeColor="text1"/>
                <w:kern w:val="0"/>
                <w:szCs w:val="21"/>
                <w14:textFill>
                  <w14:solidFill>
                    <w14:schemeClr w14:val="tx1"/>
                  </w14:solidFill>
                </w14:textFill>
              </w:rPr>
              <w:t>③</w:t>
            </w:r>
            <w:r>
              <w:rPr>
                <w:rFonts w:hint="eastAsia" w:ascii="仿宋_GB2312" w:hAnsi="宋体" w:eastAsia="仿宋_GB2312"/>
                <w:color w:val="000000" w:themeColor="text1"/>
                <w:kern w:val="0"/>
                <w:szCs w:val="21"/>
                <w14:textFill>
                  <w14:solidFill>
                    <w14:schemeClr w14:val="tx1"/>
                  </w14:solidFill>
                </w14:textFill>
              </w:rPr>
              <w:t>4次以上违反民用建筑节能强制性标准进行设计或者使用列入禁止使用目录的技术、工艺、材料和设备的。</w:t>
            </w:r>
          </w:p>
        </w:tc>
        <w:tc>
          <w:tcPr>
            <w:tcW w:w="3232" w:type="dxa"/>
            <w:tcBorders>
              <w:tl2br w:val="nil"/>
              <w:tr2bl w:val="nil"/>
            </w:tcBorders>
            <w:shd w:val="clear" w:color="000000" w:fill="FFFFFF"/>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6"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207</w:t>
            </w:r>
          </w:p>
        </w:tc>
        <w:tc>
          <w:tcPr>
            <w:tcW w:w="1488"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施工单位未按照民用建筑节能强制性标准进行施工的</w:t>
            </w:r>
          </w:p>
        </w:tc>
        <w:tc>
          <w:tcPr>
            <w:tcW w:w="1062"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w:t>
            </w:r>
            <w:r>
              <w:rPr>
                <w:rFonts w:hint="eastAsia" w:ascii="Calibri" w:hAnsi="Calibri" w:eastAsia="仿宋_GB2312"/>
                <w:color w:val="000000" w:themeColor="text1"/>
                <w:szCs w:val="21"/>
                <w14:textFill>
                  <w14:solidFill>
                    <w14:schemeClr w14:val="tx1"/>
                  </w14:solidFill>
                </w14:textFill>
              </w:rPr>
              <w:t>五</w:t>
            </w:r>
            <w:r>
              <w:rPr>
                <w:rFonts w:hint="eastAsia" w:ascii="仿宋_GB2312" w:hAnsi="宋体" w:eastAsia="仿宋_GB2312"/>
                <w:color w:val="000000" w:themeColor="text1"/>
                <w:szCs w:val="21"/>
                <w14:textFill>
                  <w14:solidFill>
                    <w14:schemeClr w14:val="tx1"/>
                  </w14:solidFill>
                </w14:textFill>
              </w:rPr>
              <w:t>条</w:t>
            </w:r>
          </w:p>
        </w:tc>
        <w:tc>
          <w:tcPr>
            <w:tcW w:w="4247"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《民用建筑节能条例》第四十条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同一项目中，未按照1条民用建筑节能强制性标准进行施工的。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责令改正，处民用建筑项目合同价款</w:t>
            </w:r>
            <w:r>
              <w:rPr>
                <w:rFonts w:hint="eastAsia" w:ascii="仿宋_GB2312" w:eastAsia="仿宋_GB2312"/>
                <w:color w:val="000000" w:themeColor="text1"/>
                <w:szCs w:val="21"/>
                <w14:textFill>
                  <w14:solidFill>
                    <w14:schemeClr w14:val="tx1"/>
                  </w14:solidFill>
                </w14:textFill>
              </w:rPr>
              <w:t>百分之二</w:t>
            </w:r>
            <w:r>
              <w:rPr>
                <w:rFonts w:hint="eastAsia" w:ascii="仿宋_GB2312" w:hAnsi="宋体" w:eastAsia="仿宋_GB2312"/>
                <w:color w:val="000000" w:themeColor="text1"/>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（1）同一项目中，未按照</w:t>
            </w:r>
            <w:r>
              <w:rPr>
                <w:rFonts w:ascii="仿宋_GB2312" w:hAnsi="宋体" w:eastAsia="仿宋_GB2312"/>
                <w:color w:val="000000" w:themeColor="text1"/>
                <w:szCs w:val="21"/>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条民用建筑节能强制性标准进行施工的。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责令改正，处民用</w:t>
            </w:r>
            <w:r>
              <w:rPr>
                <w:rFonts w:hint="eastAsia" w:ascii="仿宋_GB2312" w:hAnsi="宋体" w:eastAsia="仿宋_GB2312"/>
                <w:color w:val="000000" w:themeColor="text1"/>
                <w:kern w:val="0"/>
                <w:szCs w:val="21"/>
                <w14:textFill>
                  <w14:solidFill>
                    <w14:schemeClr w14:val="tx1"/>
                  </w14:solidFill>
                </w14:textFill>
              </w:rPr>
              <w:t>建筑项目合同价款</w:t>
            </w:r>
            <w:r>
              <w:rPr>
                <w:rFonts w:ascii="仿宋_GB2312" w:eastAsia="仿宋_GB2312"/>
                <w:color w:val="000000" w:themeColor="text1"/>
                <w:szCs w:val="21"/>
                <w14:textFill>
                  <w14:solidFill>
                    <w14:schemeClr w14:val="tx1"/>
                  </w14:solidFill>
                </w14:textFill>
              </w:rPr>
              <w:t>百分之二</w:t>
            </w:r>
            <w:r>
              <w:rPr>
                <w:rFonts w:hint="eastAsia" w:ascii="仿宋_GB2312" w:eastAsia="仿宋_GB2312"/>
                <w:color w:val="000000" w:themeColor="text1"/>
                <w:szCs w:val="21"/>
                <w14:textFill>
                  <w14:solidFill>
                    <w14:schemeClr w14:val="tx1"/>
                  </w14:solidFill>
                </w14:textFill>
              </w:rPr>
              <w:t>以上</w:t>
            </w:r>
            <w:r>
              <w:rPr>
                <w:rFonts w:ascii="仿宋_GB2312" w:eastAsia="仿宋_GB2312"/>
                <w:color w:val="000000" w:themeColor="text1"/>
                <w:szCs w:val="21"/>
                <w14:textFill>
                  <w14:solidFill>
                    <w14:schemeClr w14:val="tx1"/>
                  </w14:solidFill>
                </w14:textFill>
              </w:rPr>
              <w:t>百分之三</w:t>
            </w:r>
            <w:r>
              <w:rPr>
                <w:rFonts w:hint="eastAsia" w:ascii="仿宋_GB2312" w:eastAsia="仿宋_GB2312"/>
                <w:color w:val="000000" w:themeColor="text1"/>
                <w:szCs w:val="21"/>
                <w14:textFill>
                  <w14:solidFill>
                    <w14:schemeClr w14:val="tx1"/>
                  </w14:solidFill>
                </w14:textFill>
              </w:rPr>
              <w:t>以下</w:t>
            </w:r>
            <w:r>
              <w:rPr>
                <w:rFonts w:hint="eastAsia" w:ascii="仿宋_GB2312" w:hAnsi="宋体" w:eastAsia="仿宋_GB2312"/>
                <w:color w:val="000000" w:themeColor="text1"/>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（2）同一项目中，未按照</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条民用建筑节能强制性标准进行施工的。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责令改正，处民用建筑项目合同价款百分之三以上百分之四以下的罚款。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8"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同一项目中，未按照4条以上5条以下民用建筑节能强制性标准进行施工的；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2次违反民用建筑节能强制性标准进行施工的。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处民用建筑项目合同价款百分之四的罚款，由颁发资质证书的部门责令停业整顿</w:t>
            </w:r>
            <w:r>
              <w:rPr>
                <w:rFonts w:ascii="仿宋_GB2312" w:hAnsi="宋体" w:eastAsia="仿宋_GB2312"/>
                <w:color w:val="000000" w:themeColor="text1"/>
                <w:szCs w:val="21"/>
                <w14:textFill>
                  <w14:solidFill>
                    <w14:schemeClr w14:val="tx1"/>
                  </w14:solidFill>
                </w14:textFill>
              </w:rPr>
              <w:t>30</w:t>
            </w:r>
            <w:r>
              <w:rPr>
                <w:rFonts w:hint="eastAsia" w:ascii="仿宋_GB2312" w:hAnsi="宋体" w:eastAsia="仿宋_GB2312"/>
                <w:color w:val="000000" w:themeColor="text1"/>
                <w:szCs w:val="21"/>
                <w14:textFill>
                  <w14:solidFill>
                    <w14:schemeClr w14:val="tx1"/>
                  </w14:solidFill>
                </w14:textFill>
              </w:rPr>
              <w:t>-</w:t>
            </w:r>
            <w:r>
              <w:rPr>
                <w:rFonts w:ascii="仿宋_GB2312" w:hAnsi="宋体" w:eastAsia="仿宋_GB2312"/>
                <w:color w:val="000000" w:themeColor="text1"/>
                <w:szCs w:val="21"/>
                <w14:textFill>
                  <w14:solidFill>
                    <w14:schemeClr w14:val="tx1"/>
                  </w14:solidFill>
                </w14:textFill>
              </w:rPr>
              <w:t>90</w:t>
            </w:r>
            <w:r>
              <w:rPr>
                <w:rFonts w:hint="eastAsia" w:ascii="仿宋_GB2312" w:hAnsi="宋体" w:eastAsia="仿宋_GB2312"/>
                <w:color w:val="000000" w:themeColor="text1"/>
                <w:szCs w:val="21"/>
                <w14:textFill>
                  <w14:solidFill>
                    <w14:schemeClr w14:val="tx1"/>
                  </w14:solidFill>
                </w14:textFill>
              </w:rPr>
              <w:t>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同一项目中，未按照5条以上10条以下民用建筑节能强制性标准进行施工的；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3次违反民用建筑节能强制性标准进行施工的。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处民用建筑项目合同价款百分之四的罚款，由颁发资质证书的部门降低资质等级。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133"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同一项目中，未按照10条以上民用建筑节能强制性标准进行施工的；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4次以上违反民用建筑节能强制性标准进行施工的。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处民用建筑项目合同价款百分之四的罚款，由颁发资质证书的部门吊销资质证书。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208</w:t>
            </w:r>
          </w:p>
        </w:tc>
        <w:tc>
          <w:tcPr>
            <w:tcW w:w="1488"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下列行为之一的：（一）未对进入施工现场的墙体材料、保温材料、门窗、采暖制冷系统和照明设备进行查验的；（二）使用不符合施工图设计文件要求的墙体材料、保温材料、门窗、采暖制冷系统和照明设备的；（三）使用列入禁止使用目录的技术、工艺、材料和设备的</w:t>
            </w:r>
          </w:p>
        </w:tc>
        <w:tc>
          <w:tcPr>
            <w:tcW w:w="1062"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《民用建筑节能条例》第十一条第三款、第十六条第一款</w:t>
            </w:r>
          </w:p>
        </w:tc>
        <w:tc>
          <w:tcPr>
            <w:tcW w:w="4247"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《民用建筑节能条例》第四十一条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（一）未对进入施工现场的墙体材料、保温材料、门窗、采暖制冷系统和照明设备进行查验的；</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（二）使用不符合施工图设计文件要求的墙体材料、保温材料、门窗、采暖制冷系统和照明设备的；</w:t>
            </w:r>
          </w:p>
          <w:p>
            <w:pPr>
              <w:widowControl/>
              <w:spacing w:line="240" w:lineRule="auto"/>
              <w:ind w:firstLine="210" w:firstLineChars="100"/>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（三）使用列入禁止使用目录的技术、工艺、材料和设备的。</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同一项目中，1年内1次违反进场材料检验、施工图设计文件、使用材料等方面规定的。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同一项目中，1年内2次违反进场材料检验、施工图设计文件、使用材料等方面规定的。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8"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）同一项目中，1年内3次以上5次以下违反进场材料检验、施工图设计文件、使用材料等方面规定的。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处20万元罚款，由颁发资质证书的部门责令停业整顿</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90</w:t>
            </w:r>
            <w:r>
              <w:rPr>
                <w:rFonts w:hint="eastAsia" w:ascii="仿宋_GB2312" w:hAnsi="宋体" w:eastAsia="仿宋_GB2312"/>
                <w:color w:val="000000" w:themeColor="text1"/>
                <w:kern w:val="0"/>
                <w:szCs w:val="21"/>
                <w14:textFill>
                  <w14:solidFill>
                    <w14:schemeClr w14:val="tx1"/>
                  </w14:solidFill>
                </w14:textFill>
              </w:rPr>
              <w:t>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133"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2115" w:type="dxa"/>
            <w:gridSpan w:val="4"/>
            <w:tcBorders>
              <w:tl2br w:val="nil"/>
              <w:tr2bl w:val="nil"/>
            </w:tcBorders>
            <w:shd w:val="clear" w:color="000000" w:fill="FFFFFF"/>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）同一项目中，1年内5次以上10次以下违反进场材料检验、施工图设计文件、使用材料等方面规定的。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处20万元罚款，由颁发资质证书的部门降低资质等级。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133"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）同一项目中，1年内10次以上违反进场材料检验、施工图设计文件、使用材料等方面规定的。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处20万元罚款，由颁发资质证书的部门吊销资质证书。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8"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209</w:t>
            </w:r>
          </w:p>
        </w:tc>
        <w:tc>
          <w:tcPr>
            <w:tcW w:w="1488"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工程监理单位未按照民用建筑节能强制性标准实施监理的</w:t>
            </w:r>
          </w:p>
        </w:tc>
        <w:tc>
          <w:tcPr>
            <w:tcW w:w="1062"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《民用建筑节能条例》第十五条</w:t>
            </w:r>
          </w:p>
        </w:tc>
        <w:tc>
          <w:tcPr>
            <w:tcW w:w="4247"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《民用建筑节能条例》第四十二条第第一款第一项</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p>
          <w:p>
            <w:pPr>
              <w:widowControl/>
              <w:spacing w:line="240" w:lineRule="auto"/>
              <w:ind w:firstLine="210" w:firstLineChars="100"/>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（一）未按照民用建筑节能强制性标准实施监理的。</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同一项目中，未按照1条民用建筑节能强制性标准实施监理的。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（1）同一项目中，未按照</w:t>
            </w:r>
            <w:r>
              <w:rPr>
                <w:rFonts w:ascii="仿宋_GB2312" w:hAnsi="宋体" w:eastAsia="仿宋_GB2312"/>
                <w:color w:val="000000" w:themeColor="text1"/>
                <w:szCs w:val="21"/>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条民用建筑节能强制性标准实施监理的；（2）</w:t>
            </w:r>
            <w:r>
              <w:rPr>
                <w:rFonts w:ascii="仿宋_GB2312" w:hAnsi="宋体" w:eastAsia="仿宋_GB2312"/>
                <w:color w:val="000000" w:themeColor="text1"/>
                <w:szCs w:val="21"/>
                <w14:textFill>
                  <w14:solidFill>
                    <w14:schemeClr w14:val="tx1"/>
                  </w14:solidFill>
                </w14:textFill>
              </w:rPr>
              <w:t>1</w:t>
            </w:r>
            <w:r>
              <w:rPr>
                <w:rFonts w:hint="eastAsia" w:ascii="仿宋_GB2312" w:hAnsi="宋体" w:eastAsia="仿宋_GB2312"/>
                <w:color w:val="000000" w:themeColor="text1"/>
                <w:szCs w:val="21"/>
                <w14:textFill>
                  <w14:solidFill>
                    <w14:schemeClr w14:val="tx1"/>
                  </w14:solidFill>
                </w14:textFill>
              </w:rPr>
              <w:t>次未按照民用建筑节能强制性标准进行监理的。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0万元以上</w:t>
            </w:r>
            <w:r>
              <w:rPr>
                <w:rFonts w:hint="eastAsia" w:ascii="仿宋_GB2312" w:eastAsia="仿宋_GB2312"/>
                <w:color w:val="000000" w:themeColor="text1"/>
                <w:szCs w:val="21"/>
                <w14:textFill>
                  <w14:solidFill>
                    <w14:schemeClr w14:val="tx1"/>
                  </w14:solidFill>
                </w14:textFill>
              </w:rPr>
              <w:t>30</w:t>
            </w:r>
            <w:r>
              <w:rPr>
                <w:rFonts w:hint="eastAsia" w:ascii="仿宋_GB2312" w:hAnsi="宋体" w:eastAsia="仿宋_GB2312"/>
                <w:color w:val="000000" w:themeColor="text1"/>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5"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szCs w:val="21"/>
                <w14:textFill>
                  <w14:solidFill>
                    <w14:schemeClr w14:val="tx1"/>
                  </w14:solidFill>
                </w14:textFill>
              </w:rPr>
              <w:t>同一项目中，未按照</w:t>
            </w:r>
            <w:r>
              <w:rPr>
                <w:rFonts w:ascii="仿宋_GB2312" w:hAnsi="宋体" w:eastAsia="仿宋_GB2312"/>
                <w:color w:val="000000" w:themeColor="text1"/>
                <w:szCs w:val="21"/>
                <w14:textFill>
                  <w14:solidFill>
                    <w14:schemeClr w14:val="tx1"/>
                  </w14:solidFill>
                </w14:textFill>
              </w:rPr>
              <w:t>3</w:t>
            </w:r>
            <w:r>
              <w:rPr>
                <w:rFonts w:hint="eastAsia" w:ascii="仿宋_GB2312" w:hAnsi="宋体" w:eastAsia="仿宋_GB2312"/>
                <w:color w:val="000000" w:themeColor="text1"/>
                <w:szCs w:val="21"/>
                <w14:textFill>
                  <w14:solidFill>
                    <w14:schemeClr w14:val="tx1"/>
                  </w14:solidFill>
                </w14:textFill>
              </w:rPr>
              <w:t>条以上5条以下民用建筑节能强制性标准进行监理的；</w:t>
            </w:r>
            <w:r>
              <w:rPr>
                <w:rFonts w:hint="eastAsia" w:ascii="仿宋" w:hAnsi="仿宋" w:eastAsia="仿宋"/>
                <w:color w:val="000000" w:themeColor="text1"/>
                <w:szCs w:val="21"/>
                <w14:textFill>
                  <w14:solidFill>
                    <w14:schemeClr w14:val="tx1"/>
                  </w14:solidFill>
                </w14:textFill>
              </w:rPr>
              <w:t>②</w:t>
            </w:r>
            <w:r>
              <w:rPr>
                <w:rFonts w:hint="eastAsia" w:ascii="仿宋_GB2312" w:hAnsi="宋体" w:eastAsia="仿宋_GB2312"/>
                <w:color w:val="000000" w:themeColor="text1"/>
                <w:szCs w:val="21"/>
                <w14:textFill>
                  <w14:solidFill>
                    <w14:schemeClr w14:val="tx1"/>
                  </w14:solidFill>
                </w14:textFill>
              </w:rPr>
              <w:t xml:space="preserve"> 2次未按照民用建筑节能强制性标准进行监理的。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处30万元罚款，由颁发资质证书的部门责令停业整顿30-</w:t>
            </w:r>
            <w:r>
              <w:rPr>
                <w:rFonts w:ascii="仿宋_GB2312" w:hAnsi="宋体" w:eastAsia="仿宋_GB2312"/>
                <w:color w:val="000000" w:themeColor="text1"/>
                <w:kern w:val="0"/>
                <w:szCs w:val="21"/>
                <w14:textFill>
                  <w14:solidFill>
                    <w14:schemeClr w14:val="tx1"/>
                  </w14:solidFill>
                </w14:textFill>
              </w:rPr>
              <w:t>90日</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同一项目中，未按照5条以上10条以下民用建筑节能强制性标准进行监理的；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3次未按照民用建筑节能强制性标准进行监理的。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处30万元罚款，由颁发资质证书的部门降低资质等级。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133"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同一项目中，未按照10条以上民用建筑节能强制性标准进行监理的；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4次以上未按照民用建筑节能强制性标准进行监理的。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处30万元罚款，由颁发资质证书的部门吊销资质证书。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210</w:t>
            </w:r>
          </w:p>
        </w:tc>
        <w:tc>
          <w:tcPr>
            <w:tcW w:w="1488" w:type="dxa"/>
            <w:gridSpan w:val="3"/>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墙体、屋面的保温工程施工时，工程监理单位未采取旁站、巡视和平行检验等形式实施监理的</w:t>
            </w:r>
          </w:p>
        </w:tc>
        <w:tc>
          <w:tcPr>
            <w:tcW w:w="1062"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《民用建筑节能条例》第十六条第三款</w:t>
            </w:r>
          </w:p>
        </w:tc>
        <w:tc>
          <w:tcPr>
            <w:tcW w:w="4247"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《民用建筑节能条例》第四十二条第一款第二项</w:t>
            </w:r>
          </w:p>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p>
          <w:p>
            <w:pPr>
              <w:widowControl/>
              <w:spacing w:line="240" w:lineRule="auto"/>
              <w:ind w:firstLine="210" w:firstLineChars="100"/>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（二）墙体、屋面的保温工程施工时，未采取旁站、巡视和平行检验等形式实施监理的。</w:t>
            </w:r>
          </w:p>
        </w:tc>
        <w:tc>
          <w:tcPr>
            <w:tcW w:w="1133"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初次违法，逾期未改正的，未造成严重社会影响的。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w:t>
            </w:r>
            <w:r>
              <w:rPr>
                <w:rFonts w:hint="eastAsia" w:ascii="仿宋_GB2312" w:hAnsi="宋体" w:eastAsia="仿宋_GB2312"/>
                <w:color w:val="000000" w:themeColor="text1"/>
                <w:szCs w:val="21"/>
                <w14:textFill>
                  <w14:solidFill>
                    <w14:schemeClr w14:val="tx1"/>
                  </w14:solidFill>
                </w14:textFill>
              </w:rPr>
              <w:t>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同一项目中，</w:t>
            </w:r>
            <w:r>
              <w:rPr>
                <w:rFonts w:ascii="仿宋_GB2312" w:hAnsi="宋体" w:eastAsia="仿宋_GB2312"/>
                <w:color w:val="000000" w:themeColor="text1"/>
                <w:szCs w:val="21"/>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次在墙体、屋面的保温工程施工时，未采取旁站、巡视和平行检验等形式实施监理的。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0万元以上</w:t>
            </w:r>
            <w:r>
              <w:rPr>
                <w:rFonts w:hint="eastAsia" w:ascii="仿宋_GB2312" w:eastAsia="仿宋_GB2312"/>
                <w:color w:val="000000" w:themeColor="text1"/>
                <w:szCs w:val="21"/>
                <w14:textFill>
                  <w14:solidFill>
                    <w14:schemeClr w14:val="tx1"/>
                  </w14:solidFill>
                </w14:textFill>
              </w:rPr>
              <w:t>30</w:t>
            </w:r>
            <w:r>
              <w:rPr>
                <w:rFonts w:hint="eastAsia" w:ascii="仿宋_GB2312" w:hAnsi="宋体" w:eastAsia="仿宋_GB2312"/>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w:t>
            </w:r>
            <w:r>
              <w:rPr>
                <w:rFonts w:ascii="仿宋_GB2312" w:hAnsi="宋体" w:eastAsia="仿宋_GB2312"/>
                <w:color w:val="000000" w:themeColor="text1"/>
                <w:szCs w:val="21"/>
                <w14:textFill>
                  <w14:solidFill>
                    <w14:schemeClr w14:val="tx1"/>
                  </w14:solidFill>
                </w14:textFill>
              </w:rPr>
              <w:t>1</w:t>
            </w:r>
            <w:r>
              <w:rPr>
                <w:rFonts w:hint="eastAsia" w:ascii="仿宋_GB2312" w:hAnsi="宋体" w:eastAsia="仿宋_GB2312"/>
                <w:color w:val="000000" w:themeColor="text1"/>
                <w:szCs w:val="21"/>
                <w14:textFill>
                  <w14:solidFill>
                    <w14:schemeClr w14:val="tx1"/>
                  </w14:solidFill>
                </w14:textFill>
              </w:rPr>
              <w:t>）同一项目中，3次以上5次以下在墙体、屋面的保温工程施工时，未采取旁站、巡视和平行检验等形式实施监理的。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处30万元罚款，责令停业整顿30-</w:t>
            </w:r>
            <w:r>
              <w:rPr>
                <w:rFonts w:ascii="仿宋_GB2312" w:hAnsi="宋体" w:eastAsia="仿宋_GB2312"/>
                <w:color w:val="000000" w:themeColor="text1"/>
                <w:kern w:val="0"/>
                <w:szCs w:val="21"/>
                <w14:textFill>
                  <w14:solidFill>
                    <w14:schemeClr w14:val="tx1"/>
                  </w14:solidFill>
                </w14:textFill>
              </w:rPr>
              <w:t>90日</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133"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（2）同一项目中，5次以上10次以下在墙体、屋面的保温工程施工时，未采取旁站、巡视和平行检验等形式实施监理的。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133"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（3）同一项目中，10次以上在墙体、屋面的保温工程施工时，未采取旁站、巡视和平行检验等形式实施监理的。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211</w:t>
            </w:r>
          </w:p>
        </w:tc>
        <w:tc>
          <w:tcPr>
            <w:tcW w:w="1488" w:type="dxa"/>
            <w:gridSpan w:val="3"/>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对不符合施工图设计文件要求的墙体材料、保温材料、门窗、采暖制冷系统和照明设备，按照符合施工图设计文件要求签字的</w:t>
            </w:r>
          </w:p>
        </w:tc>
        <w:tc>
          <w:tcPr>
            <w:tcW w:w="1062"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《民用建筑节能条例》第十六条第二款</w:t>
            </w:r>
          </w:p>
        </w:tc>
        <w:tc>
          <w:tcPr>
            <w:tcW w:w="4247"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《民用建筑节能条例》第四十二条第二款</w:t>
            </w:r>
          </w:p>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对不符合施工图设计文件要求的墙体材料、保温材料、门窗、采暖制冷系统和照明设备，按照符合施工图设计文件要求签字的，依照《建设工程质量管理条例》第六十七条的规定处罚。</w:t>
            </w:r>
          </w:p>
          <w:p>
            <w:pPr>
              <w:widowControl/>
              <w:spacing w:line="240" w:lineRule="auto"/>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《建设工程质量管理条例》第六十七条第二项</w:t>
            </w:r>
          </w:p>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工程监理单位有下列行为之一的，责令改正，处50万元以上100万元以下的罚款，降低资质等级或者吊销资质证书；有违法所得的，予以没收；造成损失的，承担连带赔偿责任：</w:t>
            </w:r>
          </w:p>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（二）将不合格的建设工程、建筑材料、建筑构配件和设备按照合格签字的。</w:t>
            </w:r>
          </w:p>
          <w:p>
            <w:pPr>
              <w:widowControl/>
              <w:spacing w:line="240" w:lineRule="auto"/>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《建设工程质量管理条例》第七十三条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3"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hint="eastAsia" w:ascii="仿宋_GB2312" w:eastAsia="仿宋_GB2312"/>
                <w:color w:val="000000" w:themeColor="text1"/>
                <w:szCs w:val="21"/>
                <w14:textFill>
                  <w14:solidFill>
                    <w14:schemeClr w14:val="tx1"/>
                  </w14:solidFill>
                </w14:textFill>
              </w:rPr>
              <w:t>50</w:t>
            </w:r>
            <w:r>
              <w:rPr>
                <w:rFonts w:hint="eastAsia" w:ascii="仿宋_GB2312" w:hAnsi="宋体" w:eastAsia="仿宋_GB2312"/>
                <w:color w:val="000000" w:themeColor="text1"/>
                <w:szCs w:val="21"/>
                <w14:textFill>
                  <w14:solidFill>
                    <w14:schemeClr w14:val="tx1"/>
                  </w14:solidFill>
                </w14:textFill>
              </w:rPr>
              <w:t>万元罚款，对单位直接负责的主管人员和其他直接责任人员处单位罚款数额百分之五的罚款；有违法所得的，予以没收。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责令改正，处50万元以上75万元以下的罚款，对单位直接负责的主管人员和其他直接责任人员处单位罚款数额百分之五以上百分之七点五以下的罚款；有违法所得的，予以没收。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vMerge w:val="restart"/>
            <w:tcBorders>
              <w:tl2br w:val="nil"/>
              <w:tr2bl w:val="nil"/>
            </w:tcBorders>
            <w:vAlign w:val="center"/>
          </w:tcPr>
          <w:p>
            <w:pPr>
              <w:spacing w:line="240" w:lineRule="auto"/>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（1）造成一般质量事故的。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ascii="仿宋_GB2312" w:hAnsi="宋体" w:eastAsia="仿宋_GB2312"/>
                <w:color w:val="000000" w:themeColor="text1"/>
                <w:kern w:val="0"/>
                <w:szCs w:val="21"/>
                <w14:textFill>
                  <w14:solidFill>
                    <w14:schemeClr w14:val="tx1"/>
                  </w14:solidFill>
                </w14:textFill>
              </w:rPr>
              <w:t>75</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eastAsia="仿宋_GB2312"/>
                <w:color w:val="000000" w:themeColor="text1"/>
                <w:szCs w:val="21"/>
                <w14:textFill>
                  <w14:solidFill>
                    <w14:schemeClr w14:val="tx1"/>
                  </w14:solidFill>
                </w14:textFill>
              </w:rPr>
              <w:t>100</w:t>
            </w:r>
            <w:r>
              <w:rPr>
                <w:rFonts w:hint="eastAsia" w:ascii="仿宋_GB2312" w:hAnsi="宋体" w:eastAsia="仿宋_GB2312"/>
                <w:color w:val="000000" w:themeColor="text1"/>
                <w:szCs w:val="21"/>
                <w14:textFill>
                  <w14:solidFill>
                    <w14:schemeClr w14:val="tx1"/>
                  </w14:solidFill>
                </w14:textFill>
              </w:rPr>
              <w:t>万元以下的罚款，对单位直接负责的主管人员和其他直接责任人员处单位罚款数额百分之七点五以上百分之十以下的罚款；有违法所得的，予以没收。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133"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（2）造成较大质量事故的。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责令改正</w:t>
            </w:r>
            <w:r>
              <w:rPr>
                <w:rFonts w:hint="eastAsia" w:ascii="仿宋_GB2312" w:hAnsi="宋体" w:eastAsia="仿宋_GB2312"/>
                <w:color w:val="000000" w:themeColor="text1"/>
                <w:kern w:val="0"/>
                <w:szCs w:val="21"/>
                <w14:textFill>
                  <w14:solidFill>
                    <w14:schemeClr w14:val="tx1"/>
                  </w14:solidFill>
                </w14:textFill>
              </w:rPr>
              <w:t>，处</w:t>
            </w:r>
            <w:r>
              <w:rPr>
                <w:rFonts w:hint="eastAsia" w:ascii="仿宋_GB2312" w:eastAsia="仿宋_GB2312"/>
                <w:color w:val="000000" w:themeColor="text1"/>
                <w:szCs w:val="21"/>
                <w14:textFill>
                  <w14:solidFill>
                    <w14:schemeClr w14:val="tx1"/>
                  </w14:solidFill>
                </w14:textFill>
              </w:rPr>
              <w:t>100</w:t>
            </w:r>
            <w:r>
              <w:rPr>
                <w:rFonts w:hint="eastAsia" w:ascii="仿宋_GB2312" w:hAnsi="宋体" w:eastAsia="仿宋_GB2312"/>
                <w:color w:val="000000" w:themeColor="text1"/>
                <w:szCs w:val="21"/>
                <w14:textFill>
                  <w14:solidFill>
                    <w14:schemeClr w14:val="tx1"/>
                  </w14:solidFill>
                </w14:textFill>
              </w:rPr>
              <w:t>万元罚款，对单位直接负责的主管人员和其他直接责任人员处单位罚款数额百分之十的罚款；有违法所得的，予以没收。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8"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133"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（3）</w:t>
            </w:r>
            <w:r>
              <w:rPr>
                <w:rFonts w:hint="eastAsia" w:ascii="仿宋" w:hAnsi="仿宋" w:eastAsia="仿宋"/>
                <w:color w:val="000000" w:themeColor="text1"/>
                <w:szCs w:val="21"/>
                <w14:textFill>
                  <w14:solidFill>
                    <w14:schemeClr w14:val="tx1"/>
                  </w14:solidFill>
                </w14:textFill>
              </w:rPr>
              <w:t>①</w:t>
            </w:r>
            <w:r>
              <w:rPr>
                <w:rFonts w:hint="eastAsia" w:ascii="仿宋_GB2312" w:hAnsi="宋体" w:eastAsia="仿宋_GB2312"/>
                <w:color w:val="000000" w:themeColor="text1"/>
                <w:szCs w:val="21"/>
                <w14:textFill>
                  <w14:solidFill>
                    <w14:schemeClr w14:val="tx1"/>
                  </w14:solidFill>
                </w14:textFill>
              </w:rPr>
              <w:t>造成重大质量事故的；</w:t>
            </w:r>
            <w:r>
              <w:rPr>
                <w:rFonts w:hint="eastAsia" w:ascii="仿宋" w:hAnsi="仿宋" w:eastAsia="仿宋"/>
                <w:color w:val="000000" w:themeColor="text1"/>
                <w:szCs w:val="21"/>
                <w14:textFill>
                  <w14:solidFill>
                    <w14:schemeClr w14:val="tx1"/>
                  </w14:solidFill>
                </w14:textFill>
              </w:rPr>
              <w:t>②</w:t>
            </w:r>
            <w:r>
              <w:rPr>
                <w:rFonts w:hint="eastAsia" w:ascii="仿宋_GB2312" w:hAnsi="宋体" w:eastAsia="仿宋_GB2312"/>
                <w:color w:val="000000" w:themeColor="text1"/>
                <w:szCs w:val="21"/>
                <w14:textFill>
                  <w14:solidFill>
                    <w14:schemeClr w14:val="tx1"/>
                  </w14:solidFill>
                </w14:textFill>
              </w:rPr>
              <w:t>造成分部工程存在严重缺陷，经返修和加固处理仍不能满足安全使用要求的。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处100万元罚款，对单位直接负责的主管人员和其他直接责任人员处单位罚款数额百分之十的罚款，降低资质等级；有违法所得的，予以没收。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133"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造成特别重大质量事故的；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造成单位（子单位）工程存在严重缺陷，经返修和加固处理仍不能满足安全使用要求的。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w:t>
            </w:r>
            <w:r>
              <w:rPr>
                <w:rFonts w:hint="eastAsia" w:ascii="仿宋_GB2312" w:eastAsia="仿宋_GB2312"/>
                <w:color w:val="000000" w:themeColor="text1"/>
                <w:szCs w:val="21"/>
                <w14:textFill>
                  <w14:solidFill>
                    <w14:schemeClr w14:val="tx1"/>
                  </w14:solidFill>
                </w14:textFill>
              </w:rPr>
              <w:t>100</w:t>
            </w:r>
            <w:r>
              <w:rPr>
                <w:rFonts w:hint="eastAsia" w:ascii="仿宋_GB2312" w:hAnsi="宋体" w:eastAsia="仿宋_GB2312"/>
                <w:color w:val="000000" w:themeColor="text1"/>
                <w:szCs w:val="21"/>
                <w14:textFill>
                  <w14:solidFill>
                    <w14:schemeClr w14:val="tx1"/>
                  </w14:solidFill>
                </w14:textFill>
              </w:rPr>
              <w:t>万元罚款，对单位直接负责的主管人员和其他直接责任人员处单位罚款数额百分之十的罚款，吊销资质证书；有违法所得的，予以没收。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212</w:t>
            </w:r>
          </w:p>
        </w:tc>
        <w:tc>
          <w:tcPr>
            <w:tcW w:w="1488" w:type="dxa"/>
            <w:gridSpan w:val="3"/>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房地产开发企业在销售房屋时未向购买人明示所售房屋的节能措施、保温工程保修期等信息的</w:t>
            </w:r>
          </w:p>
        </w:tc>
        <w:tc>
          <w:tcPr>
            <w:tcW w:w="1062"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《节约能源法》第三十六条</w:t>
            </w:r>
          </w:p>
        </w:tc>
        <w:tc>
          <w:tcPr>
            <w:tcW w:w="4247"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《节约能源法》第八十条</w:t>
            </w:r>
          </w:p>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tc>
        <w:tc>
          <w:tcPr>
            <w:tcW w:w="1133" w:type="dxa"/>
            <w:gridSpan w:val="3"/>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初次违法，逾期不改</w:t>
            </w:r>
            <w:r>
              <w:rPr>
                <w:rFonts w:hint="eastAsia"/>
                <w:color w:val="000000" w:themeColor="text1"/>
                <w14:textFill>
                  <w14:solidFill>
                    <w14:schemeClr w14:val="tx1"/>
                  </w14:solidFill>
                </w14:textFill>
              </w:rPr>
              <w:t>正</w:t>
            </w:r>
            <w:r>
              <w:rPr>
                <w:rFonts w:hint="eastAsia" w:ascii="仿宋_GB2312" w:hAnsi="宋体" w:eastAsia="仿宋_GB2312"/>
                <w:color w:val="000000" w:themeColor="text1"/>
                <w:kern w:val="0"/>
                <w:szCs w:val="21"/>
                <w14:textFill>
                  <w14:solidFill>
                    <w14:schemeClr w14:val="tx1"/>
                  </w14:solidFill>
                </w14:textFill>
              </w:rPr>
              <w:t>，未造成严重社会影响的。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责令改正,处3万元罚款；对这些信息作虚假宣传的，处5万元罚款。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133" w:type="dxa"/>
            <w:gridSpan w:val="3"/>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逾期不改正，不具有从轻、从重情形的。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责令改正，处3万元以上4</w:t>
            </w:r>
            <w:r>
              <w:rPr>
                <w:rFonts w:ascii="仿宋_GB2312" w:hAnsi="宋体" w:eastAsia="仿宋_GB2312"/>
                <w:color w:val="000000" w:themeColor="text1"/>
                <w:kern w:val="0"/>
                <w:szCs w:val="21"/>
                <w14:textFill>
                  <w14:solidFill>
                    <w14:schemeClr w14:val="tx1"/>
                  </w14:solidFill>
                </w14:textFill>
              </w:rPr>
              <w:t>万元</w:t>
            </w:r>
            <w:r>
              <w:rPr>
                <w:rFonts w:hint="eastAsia" w:ascii="仿宋_GB2312" w:hAnsi="宋体" w:eastAsia="仿宋_GB2312"/>
                <w:color w:val="000000" w:themeColor="text1"/>
                <w:kern w:val="0"/>
                <w:szCs w:val="21"/>
                <w14:textFill>
                  <w14:solidFill>
                    <w14:schemeClr w14:val="tx1"/>
                  </w14:solidFill>
                </w14:textFill>
              </w:rPr>
              <w:t xml:space="preserve"> 以下罚款；对这些信息作虚假宣传的，处5万元以上10</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2"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133" w:type="dxa"/>
            <w:gridSpan w:val="3"/>
            <w:vMerge w:val="restart"/>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2年内2次及以上同类型违法的；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经责令改正后，拒绝采取措施改正的。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责令改正，处4万元以上5万元以下罚款；对这些信息作虚假宣传的，处10万元以上20万元以下罚款。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133"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）造成较大以上安全事故的。</w:t>
            </w:r>
          </w:p>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责令改正，处5万元罚款；对这些信息作虚假宣传的，处20万元罚款。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213</w:t>
            </w:r>
          </w:p>
        </w:tc>
        <w:tc>
          <w:tcPr>
            <w:tcW w:w="1488"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房地产开发企业销售商品房，未向购买人明示所售商品房的能源消耗指标、节能措施和保护要求、保温工程保修期等信息，或者向购买人明示的所售商品房能源消耗指标与实际能源消耗不符的</w:t>
            </w:r>
          </w:p>
        </w:tc>
        <w:tc>
          <w:tcPr>
            <w:tcW w:w="1062"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《民用建筑节能条例》第二十二条</w:t>
            </w:r>
          </w:p>
        </w:tc>
        <w:tc>
          <w:tcPr>
            <w:tcW w:w="4247"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《民用建筑节能条例》第四十三条</w:t>
            </w:r>
          </w:p>
          <w:p>
            <w:pPr>
              <w:widowControl/>
              <w:spacing w:line="240" w:lineRule="auto"/>
              <w:ind w:firstLine="210" w:firstLineChars="100"/>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2%以下的罚款；情节严重的，由颁发资质证书的部门降低资质等级或者吊销资质证书。</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初次违法，逾期未改</w:t>
            </w:r>
            <w:r>
              <w:rPr>
                <w:rFonts w:hint="eastAsia"/>
                <w:color w:val="000000" w:themeColor="text1"/>
                <w14:textFill>
                  <w14:solidFill>
                    <w14:schemeClr w14:val="tx1"/>
                  </w14:solidFill>
                </w14:textFill>
              </w:rPr>
              <w:t>正</w:t>
            </w:r>
            <w:r>
              <w:rPr>
                <w:rFonts w:hint="eastAsia" w:ascii="仿宋_GB2312" w:hAnsi="宋体" w:eastAsia="仿宋_GB2312"/>
                <w:color w:val="000000" w:themeColor="text1"/>
                <w:kern w:val="0"/>
                <w:szCs w:val="21"/>
                <w14:textFill>
                  <w14:solidFill>
                    <w14:schemeClr w14:val="tx1"/>
                  </w14:solidFill>
                </w14:textFill>
              </w:rPr>
              <w:t>，未造成严重社会影响的。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责令改正,处交付使用的房屋销售总额百分之一的罚款。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5"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逾期未改正，不具有从轻、从重情形的。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责令改正</w:t>
            </w:r>
            <w:r>
              <w:rPr>
                <w:rFonts w:hint="eastAsia" w:ascii="仿宋_GB2312" w:hAnsi="宋体" w:eastAsia="仿宋_GB2312"/>
                <w:color w:val="000000" w:themeColor="text1"/>
                <w:kern w:val="0"/>
                <w:szCs w:val="21"/>
                <w14:textFill>
                  <w14:solidFill>
                    <w14:schemeClr w14:val="tx1"/>
                  </w14:solidFill>
                </w14:textFill>
              </w:rPr>
              <w:t>，处交付使用的房屋销售总额百分之一以上百分之二以下的罚款。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2年内2次及以上同类型违法的；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经责令改正后，拒绝采取措施改正的。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处交付使用的房屋销售总额</w:t>
            </w:r>
            <w:r>
              <w:rPr>
                <w:rFonts w:hint="eastAsia" w:ascii="仿宋_GB2312" w:eastAsia="仿宋_GB2312"/>
                <w:color w:val="000000" w:themeColor="text1"/>
                <w:szCs w:val="21"/>
                <w14:textFill>
                  <w14:solidFill>
                    <w14:schemeClr w14:val="tx1"/>
                  </w14:solidFill>
                </w14:textFill>
              </w:rPr>
              <w:t>百分之二</w:t>
            </w:r>
            <w:r>
              <w:rPr>
                <w:rFonts w:hint="eastAsia" w:ascii="仿宋_GB2312" w:hAnsi="宋体" w:eastAsia="仿宋_GB2312"/>
                <w:color w:val="000000" w:themeColor="text1"/>
                <w:szCs w:val="21"/>
                <w14:textFill>
                  <w14:solidFill>
                    <w14:schemeClr w14:val="tx1"/>
                  </w14:solidFill>
                </w14:textFill>
              </w:rPr>
              <w:t>的罚款，由颁发资质证书的部门</w:t>
            </w:r>
            <w:r>
              <w:rPr>
                <w:rFonts w:hint="eastAsia" w:ascii="仿宋_GB2312" w:hAnsi="宋体" w:eastAsia="仿宋_GB2312"/>
                <w:color w:val="000000" w:themeColor="text1"/>
                <w:kern w:val="0"/>
                <w:szCs w:val="21"/>
                <w14:textFill>
                  <w14:solidFill>
                    <w14:schemeClr w14:val="tx1"/>
                  </w14:solidFill>
                </w14:textFill>
              </w:rPr>
              <w:t>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133"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）造成较大以上安全事故的。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处交付使用的房屋销售总额百分之二的罚款，由颁发资质证书的部门吊销资质证书。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214</w:t>
            </w:r>
          </w:p>
        </w:tc>
        <w:tc>
          <w:tcPr>
            <w:tcW w:w="1488"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注册执业人员未执行民用建筑节能强制性标准的</w:t>
            </w:r>
          </w:p>
        </w:tc>
        <w:tc>
          <w:tcPr>
            <w:tcW w:w="1062"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《民用建筑节能条例》第十五条</w:t>
            </w:r>
          </w:p>
        </w:tc>
        <w:tc>
          <w:tcPr>
            <w:tcW w:w="4247"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《民用建筑节能条例》第四十四条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违反本条例规定，注册执业人员未执行民用建筑节能强制性标准的，由县级以上人民政府建设主管部门责令停止执业3个月以上1年以下；情节严重的，由颁发资格证书的部门吊销执业资格证书，5年内不予注册。</w:t>
            </w:r>
          </w:p>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《建设工程安全生产管理条例》第五十八条</w:t>
            </w:r>
          </w:p>
          <w:p>
            <w:pPr>
              <w:widowControl/>
              <w:spacing w:line="240" w:lineRule="auto"/>
              <w:ind w:firstLine="210" w:firstLineChars="100"/>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责令停止执业</w:t>
            </w:r>
            <w:r>
              <w:rPr>
                <w:rFonts w:hint="eastAsia" w:ascii="仿宋_GB2312" w:eastAsia="仿宋_GB2312"/>
                <w:color w:val="000000" w:themeColor="text1"/>
                <w:szCs w:val="21"/>
                <w14:textFill>
                  <w14:solidFill>
                    <w14:schemeClr w14:val="tx1"/>
                  </w14:solidFill>
                </w14:textFill>
              </w:rPr>
              <w:t>3</w:t>
            </w:r>
            <w:r>
              <w:rPr>
                <w:rFonts w:hint="eastAsia" w:ascii="仿宋_GB2312" w:hAnsi="宋体" w:eastAsia="仿宋_GB2312"/>
                <w:color w:val="000000" w:themeColor="text1"/>
                <w:szCs w:val="21"/>
                <w14:textFill>
                  <w14:solidFill>
                    <w14:schemeClr w14:val="tx1"/>
                  </w14:solidFill>
                </w14:textFill>
              </w:rPr>
              <w:t>个月。</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（1）未造成安全事故，不具有从轻、从重情形的。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责令停止执业</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个月以上</w:t>
            </w:r>
            <w:r>
              <w:rPr>
                <w:rFonts w:ascii="仿宋_GB2312" w:hAnsi="宋体" w:eastAsia="仿宋_GB2312"/>
                <w:color w:val="000000" w:themeColor="text1"/>
                <w:kern w:val="0"/>
                <w:szCs w:val="21"/>
                <w14:textFill>
                  <w14:solidFill>
                    <w14:schemeClr w14:val="tx1"/>
                  </w14:solidFill>
                </w14:textFill>
              </w:rPr>
              <w:t>6个月</w:t>
            </w:r>
            <w:r>
              <w:rPr>
                <w:rFonts w:hint="eastAsia" w:ascii="仿宋_GB2312" w:hAnsi="宋体" w:eastAsia="仿宋_GB2312"/>
                <w:color w:val="000000" w:themeColor="text1"/>
                <w:kern w:val="0"/>
                <w:szCs w:val="21"/>
                <w14:textFill>
                  <w14:solidFill>
                    <w14:schemeClr w14:val="tx1"/>
                  </w14:solidFill>
                </w14:textFill>
              </w:rPr>
              <w:t>以下。</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（2）造成一般安全事故或者其他较严重后果的。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责令停止执业6个月以上1年以下（含1年）。</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）造成较大安全事故或者其他严重后果的。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由颁发资格证书的部门吊销执业资格证书，</w:t>
            </w:r>
            <w:r>
              <w:rPr>
                <w:rFonts w:hint="eastAsia" w:ascii="仿宋_GB2312" w:eastAsia="仿宋_GB2312"/>
                <w:color w:val="000000" w:themeColor="text1"/>
                <w:szCs w:val="21"/>
                <w14:textFill>
                  <w14:solidFill>
                    <w14:schemeClr w14:val="tx1"/>
                  </w14:solidFill>
                </w14:textFill>
              </w:rPr>
              <w:t>5</w:t>
            </w:r>
            <w:r>
              <w:rPr>
                <w:rFonts w:hint="eastAsia" w:ascii="仿宋_GB2312" w:hAnsi="宋体" w:eastAsia="仿宋_GB2312"/>
                <w:color w:val="000000" w:themeColor="text1"/>
                <w:szCs w:val="21"/>
                <w14:textFill>
                  <w14:solidFill>
                    <w14:schemeClr w14:val="tx1"/>
                  </w14:solidFill>
                </w14:textFill>
              </w:rPr>
              <w:t>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2"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）造成重大、特别重大安全事故或其他特别严重后果的。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由颁发资格证书的部门吊销执业资格证书，终身不予注册。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215</w:t>
            </w:r>
          </w:p>
        </w:tc>
        <w:tc>
          <w:tcPr>
            <w:tcW w:w="1488"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施工图设计文件审查机构为不符合民用建筑节能强制性标准的设计方案出具合格意见的</w:t>
            </w:r>
          </w:p>
        </w:tc>
        <w:tc>
          <w:tcPr>
            <w:tcW w:w="1062"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《安徽省民用建筑节能办法》第十二条第一款</w:t>
            </w:r>
          </w:p>
        </w:tc>
        <w:tc>
          <w:tcPr>
            <w:tcW w:w="4247"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《安徽省民用建筑节能办法》第四十二条</w:t>
            </w:r>
          </w:p>
          <w:p>
            <w:pPr>
              <w:widowControl/>
              <w:spacing w:line="240" w:lineRule="auto"/>
              <w:ind w:firstLine="210" w:firstLineChars="100"/>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违反本办法规定，施工图设计文件审查机构为不符合民用建筑节能强制性标准的设计方案出具合格意见的，由县级以上人民政府建设行政主管部门责令改正；逾期不改正的，处1万元以上3万元以下罚款。</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初次违法，逾期未改正，未造成不良社会影响的。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hint="eastAsia" w:ascii="仿宋_GB2312" w:eastAsia="仿宋_GB2312"/>
                <w:color w:val="000000" w:themeColor="text1"/>
                <w:szCs w:val="21"/>
                <w14:textFill>
                  <w14:solidFill>
                    <w14:schemeClr w14:val="tx1"/>
                  </w14:solidFill>
                </w14:textFill>
              </w:rPr>
              <w:t>1</w:t>
            </w:r>
            <w:r>
              <w:rPr>
                <w:rFonts w:hint="eastAsia" w:ascii="仿宋_GB2312" w:hAnsi="宋体" w:eastAsia="仿宋_GB2312"/>
                <w:color w:val="000000" w:themeColor="text1"/>
                <w:szCs w:val="21"/>
                <w14:textFill>
                  <w14:solidFill>
                    <w14:schemeClr w14:val="tx1"/>
                  </w14:solidFill>
                </w14:textFill>
              </w:rPr>
              <w:t>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逾期未改正，不具有从轻、从重情形的。</w:t>
            </w:r>
          </w:p>
        </w:tc>
        <w:tc>
          <w:tcPr>
            <w:tcW w:w="3232" w:type="dxa"/>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责令改正，处1万元以上</w:t>
            </w:r>
            <w:r>
              <w:rPr>
                <w:rFonts w:hint="eastAsia" w:ascii="仿宋_GB2312" w:eastAsia="仿宋_GB2312"/>
                <w:color w:val="000000" w:themeColor="text1"/>
                <w:szCs w:val="21"/>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15" w:type="dxa"/>
            <w:gridSpan w:val="4"/>
            <w:vMerge w:val="continue"/>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3232" w:type="dxa"/>
            <w:vMerge w:val="continue"/>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2"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（1）2年内2次及以上同类型违法的；（2）经责令改正后，拒绝采取措施改正的；（</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）造成重大安全事故或者较大社会影响的。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216</w:t>
            </w:r>
          </w:p>
        </w:tc>
        <w:tc>
          <w:tcPr>
            <w:tcW w:w="1488"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szCs w:val="21"/>
                <w14:textFill>
                  <w14:solidFill>
                    <w14:schemeClr w14:val="tx1"/>
                  </w14:solidFill>
                </w14:textFill>
              </w:rPr>
              <w:t>一</w:t>
            </w:r>
            <w:r>
              <w:rPr>
                <w:rFonts w:hint="eastAsia" w:ascii="仿宋_GB2312"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szCs w:val="21"/>
                <w14:textFill>
                  <w14:solidFill>
                    <w14:schemeClr w14:val="tx1"/>
                  </w14:solidFill>
                </w14:textFill>
              </w:rPr>
              <w:t>新建、改建、扩建建筑面积在</w:t>
            </w:r>
            <w:r>
              <w:rPr>
                <w:rFonts w:hint="eastAsia" w:ascii="仿宋_GB2312" w:eastAsia="仿宋_GB2312"/>
                <w:color w:val="000000" w:themeColor="text1"/>
                <w:szCs w:val="21"/>
                <w14:textFill>
                  <w14:solidFill>
                    <w14:schemeClr w14:val="tx1"/>
                  </w14:solidFill>
                </w14:textFill>
              </w:rPr>
              <w:t>1</w:t>
            </w:r>
            <w:r>
              <w:rPr>
                <w:rFonts w:hint="eastAsia" w:ascii="仿宋_GB2312" w:hAnsi="宋体" w:eastAsia="仿宋_GB2312"/>
                <w:color w:val="000000" w:themeColor="text1"/>
                <w:szCs w:val="21"/>
                <w14:textFill>
                  <w14:solidFill>
                    <w14:schemeClr w14:val="tx1"/>
                  </w14:solidFill>
                </w14:textFill>
              </w:rPr>
              <w:t>万平方米以上的公共建筑，建设单位未利用不少于</w:t>
            </w:r>
            <w:r>
              <w:rPr>
                <w:rFonts w:hint="eastAsia" w:ascii="仿宋_GB2312" w:eastAsia="仿宋_GB2312"/>
                <w:color w:val="000000" w:themeColor="text1"/>
                <w:szCs w:val="21"/>
                <w14:textFill>
                  <w14:solidFill>
                    <w14:schemeClr w14:val="tx1"/>
                  </w14:solidFill>
                </w14:textFill>
              </w:rPr>
              <w:t>1</w:t>
            </w:r>
            <w:r>
              <w:rPr>
                <w:rFonts w:hint="eastAsia" w:ascii="仿宋_GB2312" w:hAnsi="宋体" w:eastAsia="仿宋_GB2312"/>
                <w:color w:val="000000" w:themeColor="text1"/>
                <w:szCs w:val="21"/>
                <w14:textFill>
                  <w14:solidFill>
                    <w14:schemeClr w14:val="tx1"/>
                  </w14:solidFill>
                </w14:textFill>
              </w:rPr>
              <w:t>种可再生能源的；</w:t>
            </w:r>
            <w:r>
              <w:rPr>
                <w:rFonts w:hint="eastAsia" w:ascii="仿宋_GB2312"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szCs w:val="21"/>
                <w14:textFill>
                  <w14:solidFill>
                    <w14:schemeClr w14:val="tx1"/>
                  </w14:solidFill>
                </w14:textFill>
              </w:rPr>
              <w:t>二</w:t>
            </w:r>
            <w:r>
              <w:rPr>
                <w:rFonts w:hint="eastAsia" w:ascii="仿宋_GB2312"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szCs w:val="21"/>
                <w14:textFill>
                  <w14:solidFill>
                    <w14:schemeClr w14:val="tx1"/>
                  </w14:solidFill>
                </w14:textFill>
              </w:rPr>
              <w:t>政府投资的学校、医院等公益性建筑以及大型公共建筑，未按照绿色建筑标准设计、建造的</w:t>
            </w:r>
          </w:p>
        </w:tc>
        <w:tc>
          <w:tcPr>
            <w:tcW w:w="1062"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《安徽省民用建筑节能办法》第二十六条第二款、第三十一条第三款</w:t>
            </w:r>
          </w:p>
        </w:tc>
        <w:tc>
          <w:tcPr>
            <w:tcW w:w="4247"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《安徽省民用建筑节能办法》第四十三条第一款</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违反本办法规定，有下列行为之一的，由县级以上人民政府建设行政主管部门责令改正；逾期不改正的，施工图设计文件审查机构不得出具审查合格证明文件，并可处1万元以上3万元以下罚款：</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（一）新建、改建、扩建建筑面积在1万平方米以上的公共建筑，建设单位未利用不少于1种可再生能源的；</w:t>
            </w:r>
          </w:p>
          <w:p>
            <w:pPr>
              <w:widowControl/>
              <w:spacing w:line="240" w:lineRule="auto"/>
              <w:ind w:firstLine="210" w:firstLineChars="100"/>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（二）政府投资的学校、医院等公益性建筑以及大型公共建筑，未按照绿色建筑标准设计、建造的。</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初次违法，逾期不改正，未造成不良社会影响的。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责令改正，并可处1万元罚款。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逾期未改正，不具有从轻、从重情形的。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责令改正，并可处1万元以上2万元以下罚款。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0"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（1）2年内2次及以上同类型违法的；（2）经责令改正后，拒绝采取改正措施的；（3）整改后，仍未达到节能强制性标准规定的。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责令改正，并可处2万元以上3万元以下罚款。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217</w:t>
            </w:r>
          </w:p>
        </w:tc>
        <w:tc>
          <w:tcPr>
            <w:tcW w:w="1488"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能效测评机构提供虚假信息的</w:t>
            </w:r>
          </w:p>
        </w:tc>
        <w:tc>
          <w:tcPr>
            <w:tcW w:w="1062"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《安徽省民用建筑节能办法》第二十四条</w:t>
            </w:r>
          </w:p>
        </w:tc>
        <w:tc>
          <w:tcPr>
            <w:tcW w:w="4247"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《安徽省民用建筑节能办法》第四十四条</w:t>
            </w:r>
          </w:p>
          <w:p>
            <w:pPr>
              <w:widowControl/>
              <w:spacing w:line="240" w:lineRule="auto"/>
              <w:ind w:firstLine="210" w:firstLineChars="100"/>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违反本办法规定，能效测评机构提供虚假信息的，由县级以上人民政府建设行政主管部门责令改正，没收违法所得，并处5万元以上10万元以下罚款。</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责令改正，没收违法所得，并处</w:t>
            </w:r>
            <w:r>
              <w:rPr>
                <w:rFonts w:hint="eastAsia" w:ascii="仿宋_GB2312" w:eastAsia="仿宋_GB2312"/>
                <w:color w:val="000000" w:themeColor="text1"/>
                <w:szCs w:val="21"/>
                <w14:textFill>
                  <w14:solidFill>
                    <w14:schemeClr w14:val="tx1"/>
                  </w14:solidFill>
                </w14:textFill>
              </w:rPr>
              <w:t>5</w:t>
            </w:r>
            <w:r>
              <w:rPr>
                <w:rFonts w:hint="eastAsia" w:ascii="仿宋_GB2312" w:hAnsi="宋体" w:eastAsia="仿宋_GB2312"/>
                <w:color w:val="000000" w:themeColor="text1"/>
                <w:szCs w:val="21"/>
                <w14:textFill>
                  <w14:solidFill>
                    <w14:schemeClr w14:val="tx1"/>
                  </w14:solidFill>
                </w14:textFill>
              </w:rPr>
              <w:t>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责令改正，没收违法所得，并处5万元以上</w:t>
            </w:r>
            <w:r>
              <w:rPr>
                <w:rFonts w:hint="eastAsia" w:ascii="仿宋_GB2312" w:eastAsia="仿宋_GB2312"/>
                <w:color w:val="000000" w:themeColor="text1"/>
                <w:szCs w:val="21"/>
                <w14:textFill>
                  <w14:solidFill>
                    <w14:schemeClr w14:val="tx1"/>
                  </w14:solidFill>
                </w14:textFill>
              </w:rPr>
              <w:t>8</w:t>
            </w:r>
            <w:r>
              <w:rPr>
                <w:rFonts w:hint="eastAsia" w:ascii="仿宋_GB2312" w:hAnsi="宋体" w:eastAsia="仿宋_GB2312"/>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5" w:hRule="atLeast"/>
          <w:jc w:val="center"/>
        </w:trPr>
        <w:tc>
          <w:tcPr>
            <w:tcW w:w="533" w:type="dxa"/>
            <w:gridSpan w:val="2"/>
            <w:vMerge w:val="continue"/>
            <w:tcBorders>
              <w:tl2br w:val="nil"/>
              <w:tr2bl w:val="nil"/>
            </w:tcBorders>
            <w:vAlign w:val="center"/>
          </w:tcPr>
          <w:p>
            <w:pPr>
              <w:widowControl/>
              <w:jc w:val="center"/>
              <w:rPr>
                <w:rFonts w:ascii="仿宋_GB2312" w:eastAsia="仿宋_GB2312"/>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（1）2年内2次及以上同类型违法的；（2）经责令改正后，拒绝采取措施改正的；（3）造成重大安全事故或较大社会影响的。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责令改正，没收违法所得，并处8万元以上</w:t>
            </w:r>
            <w:r>
              <w:rPr>
                <w:rFonts w:hint="eastAsia" w:ascii="仿宋_GB2312" w:eastAsia="仿宋_GB2312"/>
                <w:color w:val="000000" w:themeColor="text1"/>
                <w:szCs w:val="21"/>
                <w14:textFill>
                  <w14:solidFill>
                    <w14:schemeClr w14:val="tx1"/>
                  </w14:solidFill>
                </w14:textFill>
              </w:rPr>
              <w:t>10</w:t>
            </w:r>
            <w:r>
              <w:rPr>
                <w:rFonts w:hint="eastAsia" w:ascii="仿宋_GB2312" w:hAnsi="宋体" w:eastAsia="仿宋_GB2312"/>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2" w:hRule="atLeast"/>
          <w:jc w:val="center"/>
        </w:trPr>
        <w:tc>
          <w:tcPr>
            <w:tcW w:w="13810" w:type="dxa"/>
            <w:gridSpan w:val="17"/>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b/>
                <w:color w:val="000000" w:themeColor="text1"/>
                <w14:textFill>
                  <w14:solidFill>
                    <w14:schemeClr w14:val="tx1"/>
                  </w14:solidFill>
                </w14:textFill>
              </w:rPr>
              <w:t xml:space="preserve">                                                 标准定额与勘察设计管理类</w:t>
            </w:r>
            <w:r>
              <w:rPr>
                <w:rFonts w:hint="eastAsia" w:ascii="仿宋_GB2312" w:hAnsi="微软雅黑" w:eastAsia="仿宋_GB2312" w:cs="微软雅黑"/>
                <w:b/>
                <w:color w:val="000000" w:themeColor="text1"/>
                <w:kern w:val="0"/>
                <w:szCs w:val="21"/>
                <w14:textFill>
                  <w14:solidFill>
                    <w14:schemeClr w14:val="tx1"/>
                  </w14:solidFill>
                </w14:textFill>
              </w:rPr>
              <w:t>（</w:t>
            </w:r>
            <w:r>
              <w:rPr>
                <w:rFonts w:hint="eastAsia" w:ascii="仿宋_GB2312" w:hAnsi="微软雅黑" w:eastAsia="仿宋_GB2312" w:cs="微软雅黑"/>
                <w:b/>
                <w:color w:val="000000" w:themeColor="text1"/>
                <w:kern w:val="0"/>
                <w:szCs w:val="21"/>
                <w:lang w:val="en-US" w:eastAsia="zh-CN"/>
                <w14:textFill>
                  <w14:solidFill>
                    <w14:schemeClr w14:val="tx1"/>
                  </w14:solidFill>
                </w14:textFill>
              </w:rPr>
              <w:t>20</w:t>
            </w:r>
            <w:r>
              <w:rPr>
                <w:rFonts w:hint="eastAsia" w:ascii="仿宋_GB2312" w:hAnsi="微软雅黑" w:eastAsia="仿宋_GB2312" w:cs="微软雅黑"/>
                <w:b/>
                <w:color w:val="000000" w:themeColor="text1"/>
                <w:kern w:val="0"/>
                <w:szCs w:val="21"/>
                <w14:textFill>
                  <w14:solidFill>
                    <w14:schemeClr w14:val="tx1"/>
                  </w14:solidFill>
                </w14:textFill>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218</w:t>
            </w:r>
          </w:p>
        </w:tc>
        <w:tc>
          <w:tcPr>
            <w:tcW w:w="1488"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设计单位超越其资质等级许可的范围或者以其他建设工程勘察、设计单位的名义承揽建设工程勘察、设计业务的；建设工程勘察、设计单位允许其他单位或者个人以本单位的名义承揽建设工程勘察、设计业务的</w:t>
            </w:r>
          </w:p>
        </w:tc>
        <w:tc>
          <w:tcPr>
            <w:tcW w:w="1062" w:type="dxa"/>
            <w:gridSpan w:val="2"/>
            <w:vMerge w:val="restart"/>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《建设工程勘察设计管理条例》第八条</w:t>
            </w:r>
          </w:p>
        </w:tc>
        <w:tc>
          <w:tcPr>
            <w:tcW w:w="4247"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szCs w:val="21"/>
                <w14:textFill>
                  <w14:solidFill>
                    <w14:schemeClr w14:val="tx1"/>
                  </w14:solidFill>
                </w14:textFill>
              </w:rPr>
              <w:t>建设工程勘察设计管理条例》第三十五条第一款</w:t>
            </w:r>
          </w:p>
          <w:p>
            <w:pPr>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违反本条例第八条规定的，责令停止违法行为，处合同约定的勘察费、设计费1倍以上2倍以下的罚款，有违法所得的，予以没收；可以责令停业整顿，降低资质等级；情节严重的，吊销资质证书。</w:t>
            </w:r>
          </w:p>
        </w:tc>
        <w:tc>
          <w:tcPr>
            <w:tcW w:w="1133" w:type="dxa"/>
            <w:gridSpan w:val="3"/>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责令改正，处合同约定的勘察费、设计费1倍的罚款，有违法所得的，予以没收。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7"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未造成质量事故，不具有从轻、从重情形的。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责令改正，处合同约定的勘察费、设计费1倍以上1.5倍以下的罚款，有违法所得的，予以没收。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（2）造成3人以下死亡，或者10人以下重伤，或者1000万元以下直接经济损失的。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5倍以上2倍以下的罚款，有违法所得的，予以没收；责令停业整顿30-60日。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（3）造成3人以上5人以下死亡，或者10人以上20人以下重伤，或者1000万元以上2000万元以下直接经济损失的。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5倍以上2倍以下的罚款，有违法所得的，予以没收；责令停业整顿60-90日。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4</w:t>
            </w: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5倍以上2倍以下的罚款，有违法所得的，予以没收；责令停业整顿90-120日。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（5）造成7人以上10人以下死亡，或者30人以上50人以下重伤，或者3000万元以上5000万元以下直接经济损失的。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处合同约定的勘察费、设计费2倍的罚款，有违法所得的，予以没收；责令停业整顿120-180日。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造成重大质量安全事故的；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造成分部工程存在严重缺陷，经返修和加固处理仍不能满足安全使用要求的。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处合同约定的勘察费、设计费2倍的罚款，有违法所得的，予以没收；降低资质等级。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（7）</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造成特别重大质量安全事故的；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造成单位（子单位）工程存在严重缺陷，经返修和加固处理仍不能满足安全使用要求的。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处合同约定的勘察费、设计费2倍的罚款，有违法所得的，予以没收；吊销资质证书。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219</w:t>
            </w:r>
          </w:p>
        </w:tc>
        <w:tc>
          <w:tcPr>
            <w:tcW w:w="1488"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建设工程勘察、设计单位未取得资质证书承揽工程的</w:t>
            </w:r>
          </w:p>
        </w:tc>
        <w:tc>
          <w:tcPr>
            <w:tcW w:w="1062" w:type="dxa"/>
            <w:gridSpan w:val="2"/>
            <w:vMerge w:val="restart"/>
            <w:tcBorders>
              <w:tl2br w:val="nil"/>
              <w:tr2bl w:val="nil"/>
            </w:tcBorders>
            <w:vAlign w:val="center"/>
          </w:tcPr>
          <w:p>
            <w:pPr>
              <w:widowControl/>
              <w:spacing w:line="240" w:lineRule="auto"/>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《建设工程勘察设计管理条例》第七条</w:t>
            </w:r>
          </w:p>
        </w:tc>
        <w:tc>
          <w:tcPr>
            <w:tcW w:w="4247"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《建设工程勘察设计管理条例》第三十五条第二款</w:t>
            </w:r>
          </w:p>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未取得资质证书承揽工程的，予以取缔，依照前款规定处以罚款；有违法所得的，予以没收。</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予以取缔，处合同约定的勘察费、设计费1倍的罚款；有违法所得的，予以没收。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未造成质量事故，不具有从轻、从重情形的。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予以取缔，处合同约定的勘察费、设计费1倍以上1.5倍以下的罚款；有违法所得的，予以没收。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）造成工程质量安全事故的。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予以取缔，处合同约定的勘察费、设计费1.5倍以上2倍以下的罚款；有违法所得的，予以没收。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220</w:t>
            </w:r>
          </w:p>
        </w:tc>
        <w:tc>
          <w:tcPr>
            <w:tcW w:w="1488" w:type="dxa"/>
            <w:gridSpan w:val="3"/>
            <w:vMerge w:val="restart"/>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以欺骗手段取得资质证书承揽工程的</w:t>
            </w:r>
          </w:p>
        </w:tc>
        <w:tc>
          <w:tcPr>
            <w:tcW w:w="1062" w:type="dxa"/>
            <w:gridSpan w:val="2"/>
            <w:vMerge w:val="restart"/>
            <w:tcBorders>
              <w:tl2br w:val="nil"/>
              <w:tr2bl w:val="nil"/>
            </w:tcBorders>
            <w:vAlign w:val="center"/>
          </w:tcPr>
          <w:p>
            <w:pPr>
              <w:widowControl/>
              <w:spacing w:line="240" w:lineRule="auto"/>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《建设工程勘察设计管理条例》第七条</w:t>
            </w:r>
          </w:p>
        </w:tc>
        <w:tc>
          <w:tcPr>
            <w:tcW w:w="4247"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《建设工程勘察设计管理条例》第三十五条第三款</w:t>
            </w:r>
          </w:p>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以欺骗手段取得资质证书承揽工程的，吊销资质证书，依照本条第一款规定处以罚款；有违法所得的，予以没收。</w:t>
            </w:r>
          </w:p>
        </w:tc>
        <w:tc>
          <w:tcPr>
            <w:tcW w:w="1133" w:type="dxa"/>
            <w:gridSpan w:val="3"/>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责令改正，处合同约定的勘察费、设计费1倍的罚款，有违法所得的，予以没收。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未造成质量事故，不具有从轻、从重情形的。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责令改正，处合同约定的勘察费、设计费1倍以上1.5倍以下的罚款，有违法所得的，予以没收。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33" w:type="dxa"/>
            <w:gridSpan w:val="2"/>
            <w:vMerge w:val="continue"/>
            <w:tcBorders>
              <w:tl2br w:val="nil"/>
              <w:tr2bl w:val="nil"/>
            </w:tcBorders>
            <w:vAlign w:val="center"/>
          </w:tcPr>
          <w:p>
            <w:pPr>
              <w:pStyle w:val="29"/>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（2）造成3人以下死亡，或者10人以下重伤，或者1000万元以下直接经济损失的。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5倍以上2倍以下的罚款，有违法所得的，予以没收；责令停业整顿30-60日。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533" w:type="dxa"/>
            <w:gridSpan w:val="2"/>
            <w:vMerge w:val="continue"/>
            <w:tcBorders>
              <w:tl2br w:val="nil"/>
              <w:tr2bl w:val="nil"/>
            </w:tcBorders>
            <w:vAlign w:val="center"/>
          </w:tcPr>
          <w:p>
            <w:pPr>
              <w:pStyle w:val="29"/>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（3）造成3人以上5人以下死亡，或者10人以上20人以下重伤，或者1000万元以上2000万元以下直接经济损失的。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5倍以上2倍以下的罚款，有违法所得的，予以没收；责令停业整顿60-90日。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（4）造成5人以上7人以下死亡，或者20人以上30人以下重伤，或者2000万元以上3000万元以下直接经济损失的。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5倍以上2倍以下的罚款，有违法所得的，予以没收；责令停业整顿90-120日。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（5）造成7人以上10人以下死亡，或者30人以上50人以下重伤，或者3000万元以上5000万元以下直接经济损失的。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处合同约定的勘察费、设计费2倍的罚款，有违法所得的，予以没收；责令停业整顿120-180日。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造成重大质量安全事故的；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造成分部工程存在严重缺陷，经返修和加固处理仍不能满足安全使用要求的。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处合同约定的勘察费、设计费2倍的罚款，有违法所得的，予以没收；降低资质等级。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（7）</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造成特别重大质量安全事故的；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造成单位（子单位）工程存在严重缺陷，经返修和加固处理仍不能满足安全使用要求的。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处合同约定的勘察费、设计费2倍的罚款，有违法所得的，予以没收；吊销资质证书。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221</w:t>
            </w:r>
          </w:p>
        </w:tc>
        <w:tc>
          <w:tcPr>
            <w:tcW w:w="1488" w:type="dxa"/>
            <w:gridSpan w:val="3"/>
            <w:vMerge w:val="restart"/>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未经注册，擅自以注册建设工程勘察、设计人员的名义从事建设工程勘察、设计活动的</w:t>
            </w:r>
          </w:p>
        </w:tc>
        <w:tc>
          <w:tcPr>
            <w:tcW w:w="1062" w:type="dxa"/>
            <w:gridSpan w:val="2"/>
            <w:vMerge w:val="restart"/>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《建设工程勘察设计管理条例》第九条</w:t>
            </w:r>
          </w:p>
        </w:tc>
        <w:tc>
          <w:tcPr>
            <w:tcW w:w="4247"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《建设工程勘察设计管理条例》第三十六条</w:t>
            </w:r>
          </w:p>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未经注册，擅自以注册建设工程勘察、设计人员的名义从事建设工程勘察、设计活动的，责令停止违法行为，没收违法所得，处违法所得2倍以上5倍以下罚款；给他人造成损失的，依法承担赔偿责任。</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初次违法，主动补充备案，消除或减轻违法行为危害后果的。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责令停止违法行为，没收违法所得，处违法所得2倍的罚款。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未造成质量事故，不具有从轻、从重情形的。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责令停止违法行为，没收违法所得，处违法所得2倍以上3.5倍以下的罚款。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（1）2年内2次及以上同类型违法的；（2）拒不改正违法行为的；（3）造成质量安全事故或者其他严重后果的。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责令停止违法行为，没收违法所得，处违法所得3.5倍以上5倍以下的罚款。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222</w:t>
            </w:r>
          </w:p>
        </w:tc>
        <w:tc>
          <w:tcPr>
            <w:tcW w:w="1488"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建设工程勘察、设计注册执业人员和其他专业技术人员未受聘于一个建设工程勘察、设计单位或者同时受聘于两个以上建设工程勘察、设计单位，从事建设工程勘察、设计活动的</w:t>
            </w:r>
          </w:p>
        </w:tc>
        <w:tc>
          <w:tcPr>
            <w:tcW w:w="1062" w:type="dxa"/>
            <w:gridSpan w:val="2"/>
            <w:vMerge w:val="restart"/>
            <w:tcBorders>
              <w:tl2br w:val="nil"/>
              <w:tr2bl w:val="nil"/>
            </w:tcBorders>
            <w:vAlign w:val="center"/>
          </w:tcPr>
          <w:p>
            <w:pPr>
              <w:widowControl/>
              <w:spacing w:line="240" w:lineRule="auto"/>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《建设工程勘察设计管理条例》第十条</w:t>
            </w:r>
          </w:p>
        </w:tc>
        <w:tc>
          <w:tcPr>
            <w:tcW w:w="4247" w:type="dxa"/>
            <w:gridSpan w:val="2"/>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《建设工程勘察设计管理条例》第三十七条</w:t>
            </w:r>
          </w:p>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责令停止违法行为，没收违法所得，处违法所得</w:t>
            </w:r>
            <w:r>
              <w:rPr>
                <w:rFonts w:ascii="仿宋_GB2312" w:hAnsi="宋体" w:eastAsia="仿宋_GB2312" w:cs="Times New Roman"/>
                <w:color w:val="000000" w:themeColor="text1"/>
                <w:kern w:val="0"/>
                <w:szCs w:val="21"/>
                <w14:textFill>
                  <w14:solidFill>
                    <w14:schemeClr w14:val="tx1"/>
                  </w14:solidFill>
                </w14:textFill>
              </w:rPr>
              <w:t>2</w:t>
            </w:r>
            <w:r>
              <w:rPr>
                <w:rFonts w:hint="eastAsia" w:ascii="仿宋_GB2312" w:hAnsi="宋体" w:eastAsia="仿宋_GB2312" w:cs="Times New Roman"/>
                <w:color w:val="000000" w:themeColor="text1"/>
                <w:kern w:val="0"/>
                <w:szCs w:val="21"/>
                <w14:textFill>
                  <w14:solidFill>
                    <w14:schemeClr w14:val="tx1"/>
                  </w14:solidFill>
                </w14:textFill>
              </w:rPr>
              <w:t>倍的罚款。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未造成质量事故，不具有从轻、从重情形的。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责令停止违法行为，没收违法所得，处违法所得2倍以上5倍以下的罚款。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（1）拒不改正违法行为的。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没收违法所得，处违法所得5倍的罚款；责令停止执行业务。</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（2）在停止执行业务期间，继续从事建设工程勘察、设计活动的。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没收违法所得，处违法所得5倍的罚款；吊销资格证书。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（3）造成质量安全事故或者其他严重后果的。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没收违法所得，处违法所得5倍的罚款；吊销资格证书。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223</w:t>
            </w:r>
          </w:p>
        </w:tc>
        <w:tc>
          <w:tcPr>
            <w:tcW w:w="1488" w:type="dxa"/>
            <w:gridSpan w:val="3"/>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发包方将建设工程勘察、设计业务发包给不具有相应资质等级的建设工程勘察、设计单位的</w:t>
            </w:r>
          </w:p>
        </w:tc>
        <w:tc>
          <w:tcPr>
            <w:tcW w:w="1062"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《建设工程勘察设计管理条例》第十七条</w:t>
            </w:r>
          </w:p>
        </w:tc>
        <w:tc>
          <w:tcPr>
            <w:tcW w:w="4247"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《建设工程勘察设计管理条例》第三十八条</w:t>
            </w:r>
          </w:p>
          <w:p>
            <w:pPr>
              <w:widowControl/>
              <w:spacing w:line="240" w:lineRule="auto"/>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违反本条例规定，发包方将建设工程勘察、设计业务发包给不具有相应资质等级的建设工程勘察、设计单位的，责令改正，处50万元以上100万元以下的罚款。</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责令改正，处50万元的罚款。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未造成质量事故，不具有从轻、从重情形的。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w:t>
            </w:r>
            <w:r>
              <w:rPr>
                <w:rFonts w:ascii="仿宋_GB2312" w:hAnsi="宋体" w:eastAsia="仿宋_GB2312" w:cs="Times New Roman"/>
                <w:color w:val="000000" w:themeColor="text1"/>
                <w:kern w:val="0"/>
                <w:szCs w:val="21"/>
                <w14:textFill>
                  <w14:solidFill>
                    <w14:schemeClr w14:val="tx1"/>
                  </w14:solidFill>
                </w14:textFill>
              </w:rPr>
              <w:t>50</w:t>
            </w:r>
            <w:r>
              <w:rPr>
                <w:rFonts w:hint="eastAsia" w:ascii="仿宋_GB2312" w:hAnsi="宋体" w:eastAsia="仿宋_GB2312" w:cs="Times New Roman"/>
                <w:color w:val="000000" w:themeColor="text1"/>
                <w:kern w:val="0"/>
                <w:szCs w:val="21"/>
                <w14:textFill>
                  <w14:solidFill>
                    <w14:schemeClr w14:val="tx1"/>
                  </w14:solidFill>
                </w14:textFill>
              </w:rPr>
              <w:t>万元以上75万元以下的罚款。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（1）2年内2次及以上同类型违法的；（2）拒不改正违法行为的。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责令改正，处75万元以上</w:t>
            </w:r>
            <w:r>
              <w:rPr>
                <w:rFonts w:ascii="仿宋_GB2312" w:hAnsi="宋体" w:eastAsia="仿宋_GB2312" w:cs="Times New Roman"/>
                <w:color w:val="000000" w:themeColor="text1"/>
                <w:kern w:val="0"/>
                <w:szCs w:val="21"/>
                <w14:textFill>
                  <w14:solidFill>
                    <w14:schemeClr w14:val="tx1"/>
                  </w14:solidFill>
                </w14:textFill>
              </w:rPr>
              <w:t>100</w:t>
            </w:r>
            <w:r>
              <w:rPr>
                <w:rFonts w:hint="eastAsia" w:ascii="仿宋_GB2312" w:hAnsi="宋体" w:eastAsia="仿宋_GB2312" w:cs="Times New Roman"/>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224</w:t>
            </w:r>
          </w:p>
        </w:tc>
        <w:tc>
          <w:tcPr>
            <w:tcW w:w="1488" w:type="dxa"/>
            <w:gridSpan w:val="3"/>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建设工程勘察、设计单位将所承揽的建设工程勘察、设计转包、违法分包的</w:t>
            </w:r>
          </w:p>
        </w:tc>
        <w:tc>
          <w:tcPr>
            <w:tcW w:w="1062"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《建筑法》第二十八条；《建设工程勘察设计管理条例》第二十条</w:t>
            </w:r>
          </w:p>
        </w:tc>
        <w:tc>
          <w:tcPr>
            <w:tcW w:w="4247" w:type="dxa"/>
            <w:gridSpan w:val="2"/>
            <w:vMerge w:val="restart"/>
            <w:tcBorders>
              <w:tl2br w:val="nil"/>
              <w:tr2bl w:val="nil"/>
            </w:tcBorders>
            <w:vAlign w:val="center"/>
          </w:tcPr>
          <w:p>
            <w:pPr>
              <w:widowControl/>
              <w:snapToGrid w:val="0"/>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《中华人民共和国建筑法》第六十七条第一款</w:t>
            </w:r>
          </w:p>
          <w:p>
            <w:pPr>
              <w:widowControl/>
              <w:snapToGrid w:val="0"/>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承包单位将承包的工程转包的，或者违反本法规定进行分包的，责令改正，没收违法所得，并处罚款，可以责令停业整顿，降低资质等级；情节严重的，吊销资质证书。</w:t>
            </w:r>
          </w:p>
          <w:p>
            <w:pPr>
              <w:widowControl/>
              <w:snapToGrid w:val="0"/>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《建设工程勘察设计管理条例》第三十九条</w:t>
            </w:r>
          </w:p>
          <w:p>
            <w:pPr>
              <w:widowControl/>
              <w:snapToGrid w:val="0"/>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工程勘察、设计单位将所承揽的建设工程勘察、设计转包的，责令改正，没收违法所得，处合同约定的勘察费、设计费25%以上50%以下的罚款，可以责令停业整顿，降低资质等级；情节严重的，吊销资质证书。</w:t>
            </w:r>
          </w:p>
          <w:p>
            <w:pPr>
              <w:widowControl/>
              <w:snapToGrid w:val="0"/>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《建设工程质量管理条例》第六十二条第一款</w:t>
            </w:r>
          </w:p>
          <w:p>
            <w:pPr>
              <w:widowControl/>
              <w:snapToGrid w:val="0"/>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p>
          <w:p>
            <w:pPr>
              <w:widowControl/>
              <w:snapToGrid w:val="0"/>
              <w:spacing w:line="240" w:lineRule="auto"/>
              <w:ind w:firstLine="210" w:firstLineChars="100"/>
              <w:jc w:val="left"/>
              <w:textAlignment w:val="center"/>
              <w:rPr>
                <w:rFonts w:ascii="仿宋_GB2312" w:hAnsi="宋体" w:eastAsia="仿宋_GB2312"/>
                <w:color w:val="000000" w:themeColor="text1"/>
                <w:szCs w:val="21"/>
                <w14:textFill>
                  <w14:solidFill>
                    <w14:schemeClr w14:val="tx1"/>
                  </w14:solidFill>
                </w14:textFill>
              </w:rPr>
            </w:pPr>
          </w:p>
          <w:p>
            <w:pPr>
              <w:widowControl/>
              <w:snapToGrid w:val="0"/>
              <w:spacing w:line="240" w:lineRule="auto"/>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《建设工程质量管理条例》第七十三条</w:t>
            </w:r>
          </w:p>
          <w:p>
            <w:pPr>
              <w:snapToGrid w:val="0"/>
              <w:spacing w:line="240" w:lineRule="auto"/>
              <w:ind w:firstLine="210" w:firstLineChars="100"/>
              <w:jc w:val="left"/>
              <w:rPr>
                <w:color w:val="000000" w:themeColor="text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p>
            <w:pPr>
              <w:widowControl/>
              <w:spacing w:line="240" w:lineRule="auto"/>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之二十五</w:t>
            </w:r>
            <w:r>
              <w:rPr>
                <w:rFonts w:hint="eastAsia" w:ascii="仿宋_GB2312" w:hAnsi="宋体" w:eastAsia="仿宋_GB2312" w:cs="Times New Roman"/>
                <w:color w:val="000000" w:themeColor="text1"/>
                <w:kern w:val="0"/>
                <w:szCs w:val="21"/>
                <w14:textFill>
                  <w14:solidFill>
                    <w14:schemeClr w14:val="tx1"/>
                  </w14:solidFill>
                </w14:textFill>
              </w:rPr>
              <w:t>的罚款，对单位直接负责的主管人员和其他直接责任人员处单位罚款数额百分之五的罚款。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vMerge w:val="restart"/>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未造成质量事故，不具有从轻、从重情形的。</w:t>
            </w:r>
          </w:p>
        </w:tc>
        <w:tc>
          <w:tcPr>
            <w:tcW w:w="3232" w:type="dxa"/>
            <w:vMerge w:val="restart"/>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二十五以上百分</w:t>
            </w:r>
            <w:r>
              <w:rPr>
                <w:rFonts w:ascii="仿宋_GB2312" w:hAnsi="宋体" w:eastAsia="仿宋_GB2312" w:cs="Times New Roman"/>
                <w:color w:val="000000" w:themeColor="text1"/>
                <w:kern w:val="0"/>
                <w:szCs w:val="21"/>
                <w14:textFill>
                  <w14:solidFill>
                    <w14:schemeClr w14:val="tx1"/>
                  </w14:solidFill>
                </w14:textFill>
              </w:rPr>
              <w:t>之三十五</w:t>
            </w:r>
            <w:r>
              <w:rPr>
                <w:rFonts w:hint="eastAsia" w:ascii="仿宋_GB2312" w:hAnsi="宋体" w:eastAsia="仿宋_GB2312" w:cs="Times New Roman"/>
                <w:color w:val="000000" w:themeColor="text1"/>
                <w:kern w:val="0"/>
                <w:szCs w:val="21"/>
                <w14:textFill>
                  <w14:solidFill>
                    <w14:schemeClr w14:val="tx1"/>
                  </w14:solidFill>
                </w14:textFill>
              </w:rPr>
              <w:t>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之五</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之七</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vMerge w:val="continue"/>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232" w:type="dxa"/>
            <w:vMerge w:val="continue"/>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vMerge w:val="continue"/>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232" w:type="dxa"/>
            <w:vMerge w:val="continue"/>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6"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restart"/>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之三十五</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之四十</w:t>
            </w:r>
            <w:r>
              <w:rPr>
                <w:rFonts w:hint="eastAsia" w:ascii="仿宋_GB2312" w:hAnsi="宋体" w:eastAsia="仿宋_GB2312" w:cs="Times New Roman"/>
                <w:color w:val="000000" w:themeColor="text1"/>
                <w:kern w:val="0"/>
                <w:szCs w:val="21"/>
                <w14:textFill>
                  <w14:solidFill>
                    <w14:schemeClr w14:val="tx1"/>
                  </w14:solidFill>
                </w14:textFill>
              </w:rPr>
              <w:t>以下的罚款，责令停业整顿30-</w:t>
            </w:r>
            <w:r>
              <w:rPr>
                <w:rFonts w:ascii="仿宋_GB2312" w:hAnsi="宋体" w:eastAsia="仿宋_GB2312" w:cs="Times New Roman"/>
                <w:color w:val="000000" w:themeColor="text1"/>
                <w:kern w:val="0"/>
                <w:szCs w:val="21"/>
                <w14:textFill>
                  <w14:solidFill>
                    <w14:schemeClr w14:val="tx1"/>
                  </w14:solidFill>
                </w14:textFill>
              </w:rPr>
              <w:t>60日</w:t>
            </w:r>
            <w:r>
              <w:rPr>
                <w:rFonts w:hint="eastAsia" w:ascii="仿宋_GB2312" w:hAnsi="宋体" w:eastAsia="仿宋_GB2312" w:cs="Times New Roman"/>
                <w:color w:val="000000" w:themeColor="text1"/>
                <w:kern w:val="0"/>
                <w:szCs w:val="21"/>
                <w14:textFill>
                  <w14:solidFill>
                    <w14:schemeClr w14:val="tx1"/>
                  </w14:solidFill>
                </w14:textFill>
              </w:rPr>
              <w:t>，对单位直接负责的主管人员和其他直接责任人员处单位罚款数额百分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之七</w:t>
            </w:r>
            <w:r>
              <w:rPr>
                <w:rFonts w:hint="eastAsia" w:ascii="仿宋_GB2312" w:hAnsi="宋体" w:eastAsia="仿宋_GB2312" w:cs="Times New Roman"/>
                <w:color w:val="000000" w:themeColor="text1"/>
                <w:kern w:val="0"/>
                <w:szCs w:val="21"/>
                <w14:textFill>
                  <w14:solidFill>
                    <w14:schemeClr w14:val="tx1"/>
                  </w14:solidFill>
                </w14:textFill>
              </w:rPr>
              <w:t>以上百分之</w:t>
            </w:r>
            <w:r>
              <w:rPr>
                <w:rFonts w:ascii="仿宋_GB2312" w:hAnsi="宋体" w:eastAsia="仿宋_GB2312" w:cs="Times New Roman"/>
                <w:color w:val="000000" w:themeColor="text1"/>
                <w:kern w:val="0"/>
                <w:szCs w:val="21"/>
                <w14:textFill>
                  <w14:solidFill>
                    <w14:schemeClr w14:val="tx1"/>
                  </w14:solidFill>
                </w14:textFill>
              </w:rPr>
              <w:t>八</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6"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人以下重伤，或者300万以上</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没收违法所得，处合同约定的勘察费、设计费百分之四十以上百分之五十以下的罚款，责令停业整顿30-60日，对单位直接负责的主管人员和其他直接责任人员处单位罚款数额百分之七以上百分之八以下的罚款。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（3）造成3人以上5人以下死亡，或者10人以上20人以下重伤，或者1000万元以上2000万元以下直接经济损失的。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之四十</w:t>
            </w:r>
            <w:r>
              <w:rPr>
                <w:rFonts w:hint="eastAsia" w:ascii="仿宋_GB2312" w:hAnsi="宋体" w:eastAsia="仿宋_GB2312" w:cs="Times New Roman"/>
                <w:color w:val="000000" w:themeColor="text1"/>
                <w:kern w:val="0"/>
                <w:szCs w:val="21"/>
                <w14:textFill>
                  <w14:solidFill>
                    <w14:schemeClr w14:val="tx1"/>
                  </w14:solidFill>
                </w14:textFill>
              </w:rPr>
              <w:t>以上百分之五十以下的罚款，责令停业整顿</w:t>
            </w:r>
            <w:r>
              <w:rPr>
                <w:rFonts w:ascii="仿宋_GB2312" w:hAnsi="宋体" w:eastAsia="仿宋_GB2312" w:cs="Times New Roman"/>
                <w:color w:val="000000" w:themeColor="text1"/>
                <w:kern w:val="0"/>
                <w:szCs w:val="21"/>
                <w14:textFill>
                  <w14:solidFill>
                    <w14:schemeClr w14:val="tx1"/>
                  </w14:solidFill>
                </w14:textFill>
              </w:rPr>
              <w:t>6</w:t>
            </w:r>
            <w:r>
              <w:rPr>
                <w:rFonts w:hint="eastAsia" w:ascii="仿宋_GB2312" w:hAnsi="宋体" w:eastAsia="仿宋_GB2312" w:cs="Times New Roman"/>
                <w:color w:val="000000" w:themeColor="text1"/>
                <w:kern w:val="0"/>
                <w:szCs w:val="21"/>
                <w14:textFill>
                  <w14:solidFill>
                    <w14:schemeClr w14:val="tx1"/>
                  </w14:solidFill>
                </w14:textFill>
              </w:rPr>
              <w:t>0-</w:t>
            </w:r>
            <w:r>
              <w:rPr>
                <w:rFonts w:ascii="仿宋_GB2312" w:hAnsi="宋体" w:eastAsia="仿宋_GB2312" w:cs="Times New Roman"/>
                <w:color w:val="000000" w:themeColor="text1"/>
                <w:kern w:val="0"/>
                <w:szCs w:val="21"/>
                <w14:textFill>
                  <w14:solidFill>
                    <w14:schemeClr w14:val="tx1"/>
                  </w14:solidFill>
                </w14:textFill>
              </w:rPr>
              <w:t>9</w:t>
            </w:r>
            <w:r>
              <w:rPr>
                <w:rFonts w:hint="eastAsia" w:ascii="仿宋_GB2312" w:hAnsi="宋体" w:eastAsia="仿宋_GB2312" w:cs="Times New Roman"/>
                <w:color w:val="000000" w:themeColor="text1"/>
                <w:kern w:val="0"/>
                <w:szCs w:val="21"/>
                <w14:textFill>
                  <w14:solidFill>
                    <w14:schemeClr w14:val="tx1"/>
                  </w14:solidFill>
                </w14:textFill>
              </w:rPr>
              <w:t>0日，对单位直接负责的主管人员和其他直接责任人员处单位罚款数额百分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之八</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九以下的罚款。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（4）造成5人以上7人以下死亡，或者20人以上30人以下重伤，或者2000万元以上3000万元以下直接经济损失的。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之四十</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之五十</w:t>
            </w:r>
            <w:r>
              <w:rPr>
                <w:rFonts w:hint="eastAsia" w:ascii="仿宋_GB2312" w:hAnsi="宋体" w:eastAsia="仿宋_GB2312" w:cs="Times New Roman"/>
                <w:color w:val="000000" w:themeColor="text1"/>
                <w:kern w:val="0"/>
                <w:szCs w:val="21"/>
                <w14:textFill>
                  <w14:solidFill>
                    <w14:schemeClr w14:val="tx1"/>
                  </w14:solidFill>
                </w14:textFill>
              </w:rPr>
              <w:t>以下的罚款，责令停业整顿</w:t>
            </w:r>
            <w:r>
              <w:rPr>
                <w:rFonts w:ascii="仿宋_GB2312" w:hAnsi="宋体" w:eastAsia="仿宋_GB2312" w:cs="Times New Roman"/>
                <w:color w:val="000000" w:themeColor="text1"/>
                <w:kern w:val="0"/>
                <w:szCs w:val="21"/>
                <w14:textFill>
                  <w14:solidFill>
                    <w14:schemeClr w14:val="tx1"/>
                  </w14:solidFill>
                </w14:textFill>
              </w:rPr>
              <w:t>9</w:t>
            </w:r>
            <w:r>
              <w:rPr>
                <w:rFonts w:hint="eastAsia" w:ascii="仿宋_GB2312" w:hAnsi="宋体" w:eastAsia="仿宋_GB2312" w:cs="Times New Roman"/>
                <w:color w:val="000000" w:themeColor="text1"/>
                <w:kern w:val="0"/>
                <w:szCs w:val="21"/>
                <w14:textFill>
                  <w14:solidFill>
                    <w14:schemeClr w14:val="tx1"/>
                  </w14:solidFill>
                </w14:textFill>
              </w:rPr>
              <w:t>0-</w:t>
            </w:r>
            <w:r>
              <w:rPr>
                <w:rFonts w:ascii="仿宋_GB2312" w:hAnsi="宋体" w:eastAsia="仿宋_GB2312" w:cs="Times New Roman"/>
                <w:color w:val="000000" w:themeColor="text1"/>
                <w:kern w:val="0"/>
                <w:szCs w:val="21"/>
                <w14:textFill>
                  <w14:solidFill>
                    <w14:schemeClr w14:val="tx1"/>
                  </w14:solidFill>
                </w14:textFill>
              </w:rPr>
              <w:t>12</w:t>
            </w:r>
            <w:r>
              <w:rPr>
                <w:rFonts w:hint="eastAsia" w:ascii="仿宋_GB2312" w:hAnsi="宋体" w:eastAsia="仿宋_GB2312" w:cs="Times New Roman"/>
                <w:color w:val="000000" w:themeColor="text1"/>
                <w:kern w:val="0"/>
                <w:szCs w:val="21"/>
                <w14:textFill>
                  <w14:solidFill>
                    <w14:schemeClr w14:val="tx1"/>
                  </w14:solidFill>
                </w14:textFill>
              </w:rPr>
              <w:t>0日，对单位直接负责的主管人员和其他直接责任人员处单位罚款数额百分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之九</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（5）造成7人以上10人以下死亡，或者30人以上50人以下重伤，或者3000万元以上5000万元以下直接经济损失的。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之五十</w:t>
            </w:r>
            <w:r>
              <w:rPr>
                <w:rFonts w:hint="eastAsia" w:ascii="仿宋_GB2312" w:hAnsi="宋体" w:eastAsia="仿宋_GB2312" w:cs="Times New Roman"/>
                <w:color w:val="000000" w:themeColor="text1"/>
                <w:kern w:val="0"/>
                <w:szCs w:val="21"/>
                <w14:textFill>
                  <w14:solidFill>
                    <w14:schemeClr w14:val="tx1"/>
                  </w14:solidFill>
                </w14:textFill>
              </w:rPr>
              <w:t>的罚款，责令停业整顿</w:t>
            </w:r>
            <w:r>
              <w:rPr>
                <w:rFonts w:ascii="仿宋_GB2312" w:hAnsi="宋体" w:eastAsia="仿宋_GB2312" w:cs="Times New Roman"/>
                <w:color w:val="000000" w:themeColor="text1"/>
                <w:kern w:val="0"/>
                <w:szCs w:val="21"/>
                <w14:textFill>
                  <w14:solidFill>
                    <w14:schemeClr w14:val="tx1"/>
                  </w14:solidFill>
                </w14:textFill>
              </w:rPr>
              <w:t>12</w:t>
            </w:r>
            <w:r>
              <w:rPr>
                <w:rFonts w:hint="eastAsia" w:ascii="仿宋_GB2312" w:hAnsi="宋体" w:eastAsia="仿宋_GB2312" w:cs="Times New Roman"/>
                <w:color w:val="000000" w:themeColor="text1"/>
                <w:kern w:val="0"/>
                <w:szCs w:val="21"/>
                <w14:textFill>
                  <w14:solidFill>
                    <w14:schemeClr w14:val="tx1"/>
                  </w14:solidFill>
                </w14:textFill>
              </w:rPr>
              <w:t>0-</w:t>
            </w:r>
            <w:r>
              <w:rPr>
                <w:rFonts w:ascii="仿宋_GB2312" w:hAnsi="宋体" w:eastAsia="仿宋_GB2312" w:cs="Times New Roman"/>
                <w:color w:val="000000" w:themeColor="text1"/>
                <w:kern w:val="0"/>
                <w:szCs w:val="21"/>
                <w14:textFill>
                  <w14:solidFill>
                    <w14:schemeClr w14:val="tx1"/>
                  </w14:solidFill>
                </w14:textFill>
              </w:rPr>
              <w:t>18</w:t>
            </w:r>
            <w:r>
              <w:rPr>
                <w:rFonts w:hint="eastAsia" w:ascii="仿宋_GB2312" w:hAnsi="宋体" w:eastAsia="仿宋_GB2312" w:cs="Times New Roman"/>
                <w:color w:val="000000" w:themeColor="text1"/>
                <w:kern w:val="0"/>
                <w:szCs w:val="21"/>
                <w14:textFill>
                  <w14:solidFill>
                    <w14:schemeClr w14:val="tx1"/>
                  </w14:solidFill>
                </w14:textFill>
              </w:rPr>
              <w:t>0日，对单位直接负责的主管人员和其他直接责任人员处单位罚款数额百分之九以上百分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造成重大质量安全事故的；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造成分部工程存在严重缺陷，经返修和加固处理仍不能满足安全使用要求的。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没收违法所得，处合同约定的勘察费、设计费百分之</w:t>
            </w:r>
            <w:r>
              <w:rPr>
                <w:rFonts w:ascii="仿宋_GB2312" w:hAnsi="宋体" w:eastAsia="仿宋_GB2312" w:cs="Times New Roman"/>
                <w:color w:val="000000" w:themeColor="text1"/>
                <w:kern w:val="0"/>
                <w:szCs w:val="21"/>
                <w14:textFill>
                  <w14:solidFill>
                    <w14:schemeClr w14:val="tx1"/>
                  </w14:solidFill>
                </w14:textFill>
              </w:rPr>
              <w:t>五十</w:t>
            </w:r>
            <w:r>
              <w:rPr>
                <w:rFonts w:hint="eastAsia" w:ascii="仿宋_GB2312" w:hAnsi="宋体" w:eastAsia="仿宋_GB2312" w:cs="Times New Roman"/>
                <w:color w:val="000000" w:themeColor="text1"/>
                <w:kern w:val="0"/>
                <w:szCs w:val="21"/>
                <w14:textFill>
                  <w14:solidFill>
                    <w14:schemeClr w14:val="tx1"/>
                  </w14:solidFill>
                </w14:textFill>
              </w:rPr>
              <w:t>的罚款，降低资质等级，对单位直接负责的主管人员和其他直接责任人员处单位罚款数额百分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（7）</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造成特别重大质量安全事故的；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造成单位（子单位）工程存在严重缺陷，经返修和加固处理仍不能满足安全使用要求的。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之五十</w:t>
            </w:r>
            <w:r>
              <w:rPr>
                <w:rFonts w:hint="eastAsia" w:ascii="仿宋_GB2312" w:hAnsi="宋体" w:eastAsia="仿宋_GB2312" w:cs="Times New Roman"/>
                <w:color w:val="000000" w:themeColor="text1"/>
                <w:kern w:val="0"/>
                <w:szCs w:val="21"/>
                <w14:textFill>
                  <w14:solidFill>
                    <w14:schemeClr w14:val="tx1"/>
                  </w14:solidFill>
                </w14:textFill>
              </w:rPr>
              <w:t>的罚款，吊销资质证书，对单位直接负责的主管人员和其他直接责任人员处单位罚款数额百分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225</w:t>
            </w:r>
          </w:p>
        </w:tc>
        <w:tc>
          <w:tcPr>
            <w:tcW w:w="1488" w:type="dxa"/>
            <w:gridSpan w:val="3"/>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勘察、设计单位未依据项目批准文件，城乡规划及专业规划，国家规定的建设工程勘察、设计深度要求编制建设工程勘察、设计文件的</w:t>
            </w:r>
          </w:p>
        </w:tc>
        <w:tc>
          <w:tcPr>
            <w:tcW w:w="1062"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《建设工程勘察设计管理条例》第二十五条</w:t>
            </w:r>
          </w:p>
        </w:tc>
        <w:tc>
          <w:tcPr>
            <w:tcW w:w="4247"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《建设工程勘察设计管理条例》第四十条</w:t>
            </w:r>
          </w:p>
          <w:p>
            <w:pPr>
              <w:widowControl/>
              <w:spacing w:line="240" w:lineRule="auto"/>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逾期未改正，初次违法，主动补充备案，消除违法行为危害后果的。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rPr>
                <w:rFonts w:ascii="Calibri" w:hAnsi="Calibri" w:eastAsia="宋体" w:cs="Times New Roman"/>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逾期不改正，未造成工程质量事故或环境污染和生态破坏，不具有从轻、从重情形的。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责令改正，处10万元以上</w:t>
            </w:r>
            <w:r>
              <w:rPr>
                <w:rFonts w:ascii="仿宋_GB2312" w:hAnsi="宋体" w:eastAsia="仿宋_GB2312" w:cs="Times New Roman"/>
                <w:color w:val="000000" w:themeColor="text1"/>
                <w:kern w:val="0"/>
                <w:szCs w:val="21"/>
                <w14:textFill>
                  <w14:solidFill>
                    <w14:schemeClr w14:val="tx1"/>
                  </w14:solidFill>
                </w14:textFill>
              </w:rPr>
              <w:t>3</w:t>
            </w:r>
            <w:r>
              <w:rPr>
                <w:rFonts w:hint="eastAsia" w:ascii="仿宋_GB2312" w:hAnsi="宋体" w:eastAsia="仿宋_GB2312" w:cs="Times New Roman"/>
                <w:color w:val="000000" w:themeColor="text1"/>
                <w:kern w:val="0"/>
                <w:szCs w:val="21"/>
                <w14:textFill>
                  <w14:solidFill>
                    <w14:schemeClr w14:val="tx1"/>
                  </w14:solidFill>
                </w14:textFill>
              </w:rPr>
              <w:t>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（1）造成工程质量事故或者环境污染和生态破坏的。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w:t>
            </w:r>
            <w:r>
              <w:rPr>
                <w:rFonts w:ascii="仿宋_GB2312" w:hAnsi="宋体" w:eastAsia="仿宋_GB2312" w:cs="Times New Roman"/>
                <w:color w:val="000000" w:themeColor="text1"/>
                <w:kern w:val="0"/>
                <w:szCs w:val="21"/>
                <w14:textFill>
                  <w14:solidFill>
                    <w14:schemeClr w14:val="tx1"/>
                  </w14:solidFill>
                </w14:textFill>
              </w:rPr>
              <w:t>30</w:t>
            </w:r>
            <w:r>
              <w:rPr>
                <w:rFonts w:hint="eastAsia" w:ascii="仿宋_GB2312" w:hAnsi="宋体" w:eastAsia="仿宋_GB2312" w:cs="Times New Roman"/>
                <w:color w:val="000000" w:themeColor="text1"/>
                <w:kern w:val="0"/>
                <w:szCs w:val="21"/>
                <w14:textFill>
                  <w14:solidFill>
                    <w14:schemeClr w14:val="tx1"/>
                  </w14:solidFill>
                </w14:textFill>
              </w:rPr>
              <w:t>万元罚款，责令停业整顿30-</w:t>
            </w:r>
            <w:r>
              <w:rPr>
                <w:rFonts w:ascii="仿宋_GB2312" w:hAnsi="宋体" w:eastAsia="仿宋_GB2312" w:cs="Times New Roman"/>
                <w:color w:val="000000" w:themeColor="text1"/>
                <w:kern w:val="0"/>
                <w:szCs w:val="21"/>
                <w14:textFill>
                  <w14:solidFill>
                    <w14:schemeClr w14:val="tx1"/>
                  </w14:solidFill>
                </w14:textFill>
              </w:rPr>
              <w:t>60日</w:t>
            </w:r>
            <w:r>
              <w:rPr>
                <w:rFonts w:hint="eastAsia" w:ascii="仿宋_GB2312" w:hAnsi="宋体" w:eastAsia="仿宋_GB2312"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（2）造成较大工程质量事故或者严重环境污染和生态破坏的。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w:t>
            </w:r>
            <w:r>
              <w:rPr>
                <w:rFonts w:ascii="仿宋_GB2312" w:hAnsi="宋体" w:eastAsia="仿宋_GB2312" w:cs="Times New Roman"/>
                <w:color w:val="000000" w:themeColor="text1"/>
                <w:kern w:val="0"/>
                <w:szCs w:val="21"/>
                <w14:textFill>
                  <w14:solidFill>
                    <w14:schemeClr w14:val="tx1"/>
                  </w14:solidFill>
                </w14:textFill>
              </w:rPr>
              <w:t>30</w:t>
            </w:r>
            <w:r>
              <w:rPr>
                <w:rFonts w:hint="eastAsia" w:ascii="仿宋_GB2312" w:hAnsi="宋体" w:eastAsia="仿宋_GB2312" w:cs="Times New Roman"/>
                <w:color w:val="000000" w:themeColor="text1"/>
                <w:kern w:val="0"/>
                <w:szCs w:val="21"/>
                <w14:textFill>
                  <w14:solidFill>
                    <w14:schemeClr w14:val="tx1"/>
                  </w14:solidFill>
                </w14:textFill>
              </w:rPr>
              <w:t>万元罚款，责令停业整顿60-</w:t>
            </w:r>
            <w:r>
              <w:rPr>
                <w:rFonts w:ascii="仿宋_GB2312" w:hAnsi="宋体" w:eastAsia="仿宋_GB2312" w:cs="Times New Roman"/>
                <w:color w:val="000000" w:themeColor="text1"/>
                <w:kern w:val="0"/>
                <w:szCs w:val="21"/>
                <w14:textFill>
                  <w14:solidFill>
                    <w14:schemeClr w14:val="tx1"/>
                  </w14:solidFill>
                </w14:textFill>
              </w:rPr>
              <w:t>90日</w:t>
            </w:r>
            <w:r>
              <w:rPr>
                <w:rFonts w:hint="eastAsia" w:ascii="仿宋_GB2312" w:hAnsi="宋体" w:eastAsia="仿宋_GB2312"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（3）造成重大工程质量事故或者比较严重环境污染和生态破坏的。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w:t>
            </w:r>
            <w:r>
              <w:rPr>
                <w:rFonts w:ascii="仿宋_GB2312" w:hAnsi="宋体" w:eastAsia="仿宋_GB2312" w:cs="Times New Roman"/>
                <w:color w:val="000000" w:themeColor="text1"/>
                <w:kern w:val="0"/>
                <w:szCs w:val="21"/>
                <w14:textFill>
                  <w14:solidFill>
                    <w14:schemeClr w14:val="tx1"/>
                  </w14:solidFill>
                </w14:textFill>
              </w:rPr>
              <w:t>30</w:t>
            </w:r>
            <w:r>
              <w:rPr>
                <w:rFonts w:hint="eastAsia" w:ascii="仿宋_GB2312" w:hAnsi="宋体" w:eastAsia="仿宋_GB2312" w:cs="Times New Roman"/>
                <w:color w:val="000000" w:themeColor="text1"/>
                <w:kern w:val="0"/>
                <w:szCs w:val="21"/>
                <w14:textFill>
                  <w14:solidFill>
                    <w14:schemeClr w14:val="tx1"/>
                  </w14:solidFill>
                </w14:textFill>
              </w:rPr>
              <w:t>万元罚款，降低资质等级。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（4）造成特别</w:t>
            </w:r>
            <w:r>
              <w:rPr>
                <w:rFonts w:ascii="仿宋_GB2312" w:hAnsi="宋体" w:eastAsia="仿宋_GB2312"/>
                <w:color w:val="000000" w:themeColor="text1"/>
                <w:kern w:val="0"/>
                <w:szCs w:val="21"/>
                <w14:textFill>
                  <w14:solidFill>
                    <w14:schemeClr w14:val="tx1"/>
                  </w14:solidFill>
                </w14:textFill>
              </w:rPr>
              <w:t>重大</w:t>
            </w:r>
            <w:r>
              <w:rPr>
                <w:rFonts w:hint="eastAsia" w:ascii="仿宋_GB2312" w:hAnsi="宋体" w:eastAsia="仿宋_GB2312"/>
                <w:color w:val="000000" w:themeColor="text1"/>
                <w:kern w:val="0"/>
                <w:szCs w:val="21"/>
                <w14:textFill>
                  <w14:solidFill>
                    <w14:schemeClr w14:val="tx1"/>
                  </w14:solidFill>
                </w14:textFill>
              </w:rPr>
              <w:t>工程质量安全事故或者特别严重的环境污染和生态破坏的。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处30万元罚款，吊销资质证书。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bookmarkStart w:id="0" w:name="_Hlk58488238"/>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226</w:t>
            </w:r>
          </w:p>
        </w:tc>
        <w:tc>
          <w:tcPr>
            <w:tcW w:w="1488" w:type="dxa"/>
            <w:gridSpan w:val="3"/>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（一）勘察单位未按照工程建设强制性标准进行勘察的；</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（二）设计单位未根据勘察成果文件进行工程设计的；</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（三）设计单位指定建筑材料、建筑构配件的生产厂、供应商的；</w:t>
            </w:r>
          </w:p>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（四）设计单位未按照工程建设强制性标准进行设计的</w:t>
            </w:r>
          </w:p>
          <w:p>
            <w:pPr>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062"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《建设工程勘察设计管理条例》第五条第二款、第二十五条，</w:t>
            </w:r>
          </w:p>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《建设工程质量管理条例》第十九条、第二十二条，《实施工程建设强制性标准监督规定》第十七条</w:t>
            </w:r>
          </w:p>
        </w:tc>
        <w:tc>
          <w:tcPr>
            <w:tcW w:w="4247" w:type="dxa"/>
            <w:gridSpan w:val="2"/>
            <w:vMerge w:val="restart"/>
            <w:tcBorders>
              <w:tl2br w:val="nil"/>
              <w:tr2bl w:val="nil"/>
            </w:tcBorders>
            <w:vAlign w:val="center"/>
          </w:tcPr>
          <w:p>
            <w:pPr>
              <w:widowControl/>
              <w:snapToGrid w:val="0"/>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《建设工程勘察设计管理条例》第四十一条</w:t>
            </w:r>
          </w:p>
          <w:p>
            <w:pPr>
              <w:widowControl/>
              <w:snapToGrid w:val="0"/>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违反本条例规定，有下列行为之一的，依照《建设工程质量管理条例》第六十三条的规定给予处罚：</w:t>
            </w:r>
          </w:p>
          <w:p>
            <w:pPr>
              <w:widowControl/>
              <w:snapToGrid w:val="0"/>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（一）勘察单位未按照工程建设强制性标准进行勘察的；</w:t>
            </w:r>
          </w:p>
          <w:p>
            <w:pPr>
              <w:widowControl/>
              <w:snapToGrid w:val="0"/>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（二）设计单位未根据勘察成果文件进行工程设计的；</w:t>
            </w:r>
          </w:p>
          <w:p>
            <w:pPr>
              <w:widowControl/>
              <w:snapToGrid w:val="0"/>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（三）设计单位指定建筑材料、建筑构配件的生产厂、供应商的；</w:t>
            </w:r>
          </w:p>
          <w:p>
            <w:pPr>
              <w:widowControl/>
              <w:snapToGrid w:val="0"/>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（四）设计单位未按照工程建设强制性标准进行设计的。</w:t>
            </w:r>
          </w:p>
          <w:p>
            <w:pPr>
              <w:widowControl/>
              <w:snapToGrid w:val="0"/>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snapToGrid w:val="0"/>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《建设工程质量管理条例》第六十三条</w:t>
            </w:r>
          </w:p>
          <w:p>
            <w:pPr>
              <w:widowControl/>
              <w:snapToGrid w:val="0"/>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违反本条例规定，有下列行为之一的，责令改正，处10万元以上30万元以下的罚款：</w:t>
            </w:r>
          </w:p>
          <w:p>
            <w:pPr>
              <w:widowControl/>
              <w:snapToGrid w:val="0"/>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（一）勘察单位未按照工程建设强制性标准进行勘察的；</w:t>
            </w:r>
          </w:p>
          <w:p>
            <w:pPr>
              <w:widowControl/>
              <w:snapToGrid w:val="0"/>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（二）设计单位未根据勘察成果文件进行工程设计的；</w:t>
            </w:r>
          </w:p>
          <w:p>
            <w:pPr>
              <w:widowControl/>
              <w:snapToGrid w:val="0"/>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（三）设计单位指定建筑材料、建筑构配件的生产厂、供应商的；</w:t>
            </w:r>
          </w:p>
          <w:p>
            <w:pPr>
              <w:widowControl/>
              <w:snapToGrid w:val="0"/>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（四）设计单位未按照工程建设强制性标准进行设计的。</w:t>
            </w:r>
          </w:p>
          <w:p>
            <w:pPr>
              <w:widowControl/>
              <w:snapToGrid w:val="0"/>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有前款所列行为，造成工程质量事故的，责令停业整顿，降低资质等级；情节严重的，吊销资质证书；造成损失的，依法承担赔偿责任。</w:t>
            </w:r>
          </w:p>
          <w:p>
            <w:pPr>
              <w:widowControl/>
              <w:snapToGrid w:val="0"/>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widowControl/>
              <w:snapToGrid w:val="0"/>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snapToGrid w:val="0"/>
              <w:spacing w:line="240" w:lineRule="auto"/>
              <w:ind w:firstLine="210" w:firstLineChars="100"/>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p>
            <w:pPr>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责令改正，处10万元罚款，对单位直接负责的主管人员和其他直接责任人员处单位罚款数额百分之五的罚款。</w:t>
            </w:r>
          </w:p>
        </w:tc>
      </w:tr>
      <w:bookmarkEnd w:id="0"/>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9"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未造成工程质量事故，不具有从轻、从重情形的。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责令改正，处10万元以上</w:t>
            </w:r>
            <w:r>
              <w:rPr>
                <w:rFonts w:ascii="仿宋_GB2312" w:hAnsi="宋体" w:eastAsia="仿宋_GB2312" w:cs="Times New Roman"/>
                <w:color w:val="000000" w:themeColor="text1"/>
                <w:kern w:val="0"/>
                <w:szCs w:val="21"/>
                <w14:textFill>
                  <w14:solidFill>
                    <w14:schemeClr w14:val="tx1"/>
                  </w14:solidFill>
                </w14:textFill>
              </w:rPr>
              <w:t>20</w:t>
            </w:r>
            <w:r>
              <w:rPr>
                <w:rFonts w:hint="eastAsia" w:ascii="仿宋_GB2312" w:hAnsi="宋体" w:eastAsia="仿宋_GB2312" w:cs="Times New Roman"/>
                <w:color w:val="000000" w:themeColor="text1"/>
                <w:kern w:val="0"/>
                <w:szCs w:val="21"/>
                <w14:textFill>
                  <w14:solidFill>
                    <w14:schemeClr w14:val="tx1"/>
                  </w14:solidFill>
                </w14:textFill>
              </w:rPr>
              <w:t>万元以下的罚款，对单位直接负责的主管人员和其他直接责任人员处单位罚款数额百分之五以上百分之十以下的罚款。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（1）造成3人以下死亡，或者10人以下重伤，或者1000万元以下直接经济损失的。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w:t>
            </w:r>
            <w:r>
              <w:rPr>
                <w:rFonts w:ascii="仿宋_GB2312" w:hAnsi="宋体" w:eastAsia="仿宋_GB2312" w:cs="Times New Roman"/>
                <w:color w:val="000000" w:themeColor="text1"/>
                <w:kern w:val="0"/>
                <w:szCs w:val="21"/>
                <w14:textFill>
                  <w14:solidFill>
                    <w14:schemeClr w14:val="tx1"/>
                  </w14:solidFill>
                </w14:textFill>
              </w:rPr>
              <w:t>20</w:t>
            </w:r>
            <w:r>
              <w:rPr>
                <w:rFonts w:hint="eastAsia" w:ascii="仿宋_GB2312" w:hAnsi="宋体" w:eastAsia="仿宋_GB2312" w:cs="Times New Roman"/>
                <w:color w:val="000000" w:themeColor="text1"/>
                <w:kern w:val="0"/>
                <w:szCs w:val="21"/>
                <w14:textFill>
                  <w14:solidFill>
                    <w14:schemeClr w14:val="tx1"/>
                  </w14:solidFill>
                </w14:textFill>
              </w:rPr>
              <w:t>万元以上</w:t>
            </w:r>
            <w:r>
              <w:rPr>
                <w:rFonts w:ascii="仿宋_GB2312" w:hAnsi="宋体" w:eastAsia="仿宋_GB2312" w:cs="Times New Roman"/>
                <w:color w:val="000000" w:themeColor="text1"/>
                <w:kern w:val="0"/>
                <w:szCs w:val="21"/>
                <w14:textFill>
                  <w14:solidFill>
                    <w14:schemeClr w14:val="tx1"/>
                  </w14:solidFill>
                </w14:textFill>
              </w:rPr>
              <w:t>3</w:t>
            </w:r>
            <w:r>
              <w:rPr>
                <w:rFonts w:hint="eastAsia" w:ascii="仿宋_GB2312" w:hAnsi="宋体" w:eastAsia="仿宋_GB2312" w:cs="Times New Roman"/>
                <w:color w:val="000000" w:themeColor="text1"/>
                <w:kern w:val="0"/>
                <w:szCs w:val="21"/>
                <w14:textFill>
                  <w14:solidFill>
                    <w14:schemeClr w14:val="tx1"/>
                  </w14:solidFill>
                </w14:textFill>
              </w:rPr>
              <w:t>0万元以下的罚款，对单位直接负责的主管人员和其他直接责任人员处单位罚款数额百分之十的罚款，责令停业整顿30-</w:t>
            </w:r>
            <w:r>
              <w:rPr>
                <w:rFonts w:ascii="仿宋_GB2312" w:hAnsi="宋体" w:eastAsia="仿宋_GB2312" w:cs="Times New Roman"/>
                <w:color w:val="000000" w:themeColor="text1"/>
                <w:kern w:val="0"/>
                <w:szCs w:val="21"/>
                <w14:textFill>
                  <w14:solidFill>
                    <w14:schemeClr w14:val="tx1"/>
                  </w14:solidFill>
                </w14:textFill>
              </w:rPr>
              <w:t>60日</w:t>
            </w:r>
            <w:r>
              <w:rPr>
                <w:rFonts w:hint="eastAsia" w:ascii="仿宋_GB2312" w:hAnsi="宋体" w:eastAsia="仿宋_GB2312"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（2）造成3人以上5人以下死亡，或者10人以上20人以下重伤，或者1000万元以上2000万元以下直接经济损失的。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处30万元罚款，对单位直接负责的主管人员和其他直接责任人员处单位罚款数额百分之十的罚款，责令停业整顿60-90日。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7"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（3）造成5人以上7人以下死亡，或者20人以上30人以下重伤，或者2000万元以上3000万元以下直接经济损失的。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处30万元罚款，对单位直接负责的主管人员和其他直接责任人员处单位罚款数额百分之十的罚款，责令停业整顿90-120日。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（4）造成7人以上10人以下死亡，或者30人以上50人以下重伤，或者3000万元以上5000万元以下直接经济损失的。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处30万元罚款，对单位直接负责的主管人员和其他直接责任人员处单位罚款数额百分之十的罚款，责令停业整顿120-180日。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造成重大质量事故的；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造成分部工程存在严重缺陷，经返修和加固处理仍不能满足安全使用要求的。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处30万元罚款，对单位直接负责的主管人员和其他直接责任人员处单位罚款数额百分之十的罚款，降低资质等级。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8"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造成特别重大质量事故的；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造成单位（子单位）工程存在严重缺陷，经返修和加固处理仍不能满足安全使用要求的。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处30万元罚款，对单位直接负责的主管人员和其他直接责任人员处单位罚款数额百分之十的罚款，吊销资质证书。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bookmarkStart w:id="1" w:name="_Hlk58488387"/>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227</w:t>
            </w:r>
          </w:p>
        </w:tc>
        <w:tc>
          <w:tcPr>
            <w:tcW w:w="1488"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工程勘察企业未按照工程建设强制性标准进行勘察、弄虚作假、提供虚假成果资料的</w:t>
            </w:r>
          </w:p>
        </w:tc>
        <w:tc>
          <w:tcPr>
            <w:tcW w:w="1062"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《建设工程勘察质量管理办法》第三条</w:t>
            </w:r>
          </w:p>
        </w:tc>
        <w:tc>
          <w:tcPr>
            <w:tcW w:w="4247" w:type="dxa"/>
            <w:gridSpan w:val="2"/>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《建设工程勘察质量管理办法》第二十</w:t>
            </w:r>
            <w:r>
              <w:rPr>
                <w:rFonts w:hint="eastAsia" w:ascii="仿宋_GB2312" w:hAnsi="宋体" w:eastAsia="仿宋_GB2312"/>
                <w:color w:val="000000" w:themeColor="text1"/>
                <w:kern w:val="0"/>
                <w:szCs w:val="21"/>
                <w:lang w:eastAsia="zh-CN"/>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条</w:t>
            </w:r>
          </w:p>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工程勘察企业未按照工程建设强制性标准进行勘察、弄虚作假、提供虚假成果资料的，由工程勘察质量监督部门责令改正，处10万元以上30万元以下的罚款；造成工程质量事故的，责令停业整顿，降低资质等级；情节严重的，吊销资质证书；造成损失的，依法承担赔偿责任。</w:t>
            </w:r>
          </w:p>
          <w:p>
            <w:pPr>
              <w:widowControl/>
              <w:spacing w:line="240" w:lineRule="auto"/>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《建设工程勘察质量管理办法》第二十七条</w:t>
            </w:r>
          </w:p>
          <w:p>
            <w:pPr>
              <w:spacing w:line="240" w:lineRule="auto"/>
              <w:ind w:firstLine="210" w:firstLineChars="100"/>
              <w:rPr>
                <w:color w:val="000000" w:themeColor="text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依照本办法规定，给予建设单位、勘察企业罚款处罚的，由工程勘察质量监督部门对建设单位、勘察企业的法定代表人和其他直接责任人员处以企业罚款数额的5%以上10%以下的罚款。</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责令改正,对工程勘察企业处10万元的罚款。对企业的法定代表人和其他直接责任人员处以企业罚款数额的百分之五的罚款。</w:t>
            </w:r>
          </w:p>
        </w:tc>
      </w:tr>
      <w:bookmarkEnd w:id="1"/>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2"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未造成工程质量事故，不具有从轻、从重情形的。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责令改正,对工程勘察企业处10万元以上</w:t>
            </w:r>
            <w:r>
              <w:rPr>
                <w:rFonts w:ascii="仿宋_GB2312" w:hAnsi="宋体" w:eastAsia="仿宋_GB2312" w:cs="Times New Roman"/>
                <w:color w:val="000000" w:themeColor="text1"/>
                <w:kern w:val="0"/>
                <w:szCs w:val="21"/>
                <w14:textFill>
                  <w14:solidFill>
                    <w14:schemeClr w14:val="tx1"/>
                  </w14:solidFill>
                </w14:textFill>
              </w:rPr>
              <w:t>20</w:t>
            </w:r>
            <w:r>
              <w:rPr>
                <w:rFonts w:hint="eastAsia" w:ascii="仿宋_GB2312" w:hAnsi="宋体" w:eastAsia="仿宋_GB2312" w:cs="Times New Roman"/>
                <w:color w:val="000000" w:themeColor="text1"/>
                <w:kern w:val="0"/>
                <w:szCs w:val="21"/>
                <w14:textFill>
                  <w14:solidFill>
                    <w14:schemeClr w14:val="tx1"/>
                  </w14:solidFill>
                </w14:textFill>
              </w:rPr>
              <w:t>万元以下的罚款。对企业的法定代表人和其他直接责任人员处以企业罚款数额的百分之五以上百分</w:t>
            </w:r>
            <w:r>
              <w:rPr>
                <w:rFonts w:ascii="仿宋_GB2312" w:hAnsi="宋体" w:eastAsia="仿宋_GB2312" w:cs="Times New Roman"/>
                <w:color w:val="000000" w:themeColor="text1"/>
                <w:kern w:val="0"/>
                <w:szCs w:val="21"/>
                <w14:textFill>
                  <w14:solidFill>
                    <w14:schemeClr w14:val="tx1"/>
                  </w14:solidFill>
                </w14:textFill>
              </w:rPr>
              <w:t>之七</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1"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（1）造成工程质量事故的。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对工程勘察企业处20万元以上</w:t>
            </w:r>
            <w:r>
              <w:rPr>
                <w:rFonts w:ascii="仿宋_GB2312" w:hAnsi="宋体" w:eastAsia="仿宋_GB2312" w:cs="Times New Roman"/>
                <w:color w:val="000000" w:themeColor="text1"/>
                <w:kern w:val="0"/>
                <w:szCs w:val="21"/>
                <w14:textFill>
                  <w14:solidFill>
                    <w14:schemeClr w14:val="tx1"/>
                  </w14:solidFill>
                </w14:textFill>
              </w:rPr>
              <w:t>25</w:t>
            </w:r>
            <w:r>
              <w:rPr>
                <w:rFonts w:hint="eastAsia" w:ascii="仿宋_GB2312" w:hAnsi="宋体" w:eastAsia="仿宋_GB2312" w:cs="Times New Roman"/>
                <w:color w:val="000000" w:themeColor="text1"/>
                <w:kern w:val="0"/>
                <w:szCs w:val="21"/>
                <w14:textFill>
                  <w14:solidFill>
                    <w14:schemeClr w14:val="tx1"/>
                  </w14:solidFill>
                </w14:textFill>
              </w:rPr>
              <w:t>万元以下的罚款，对单位直接负责的主管人员和其他直接责任人员处单位罚款数额百分之七以上百分之十以下的罚款；责令停业整顿30-</w:t>
            </w:r>
            <w:r>
              <w:rPr>
                <w:rFonts w:ascii="仿宋_GB2312" w:hAnsi="宋体" w:eastAsia="仿宋_GB2312" w:cs="Times New Roman"/>
                <w:color w:val="000000" w:themeColor="text1"/>
                <w:kern w:val="0"/>
                <w:szCs w:val="21"/>
                <w14:textFill>
                  <w14:solidFill>
                    <w14:schemeClr w14:val="tx1"/>
                  </w14:solidFill>
                </w14:textFill>
              </w:rPr>
              <w:t>60日</w:t>
            </w:r>
            <w:r>
              <w:rPr>
                <w:rFonts w:hint="eastAsia" w:ascii="仿宋_GB2312" w:hAnsi="宋体" w:eastAsia="仿宋_GB2312"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（2）造成较大工程质量事故的。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对工程勘察企业处2</w:t>
            </w:r>
            <w:r>
              <w:rPr>
                <w:rFonts w:ascii="仿宋_GB2312" w:hAnsi="宋体" w:eastAsia="仿宋_GB2312" w:cs="Times New Roman"/>
                <w:color w:val="000000" w:themeColor="text1"/>
                <w:kern w:val="0"/>
                <w:szCs w:val="21"/>
                <w14:textFill>
                  <w14:solidFill>
                    <w14:schemeClr w14:val="tx1"/>
                  </w14:solidFill>
                </w14:textFill>
              </w:rPr>
              <w:t>5</w:t>
            </w:r>
            <w:r>
              <w:rPr>
                <w:rFonts w:hint="eastAsia" w:ascii="仿宋_GB2312" w:hAnsi="宋体" w:eastAsia="仿宋_GB2312" w:cs="Times New Roman"/>
                <w:color w:val="000000" w:themeColor="text1"/>
                <w:kern w:val="0"/>
                <w:szCs w:val="21"/>
                <w14:textFill>
                  <w14:solidFill>
                    <w14:schemeClr w14:val="tx1"/>
                  </w14:solidFill>
                </w14:textFill>
              </w:rPr>
              <w:t>万元以上</w:t>
            </w:r>
            <w:r>
              <w:rPr>
                <w:rFonts w:ascii="仿宋_GB2312" w:hAnsi="宋体" w:eastAsia="仿宋_GB2312" w:cs="Times New Roman"/>
                <w:color w:val="000000" w:themeColor="text1"/>
                <w:kern w:val="0"/>
                <w:szCs w:val="21"/>
                <w14:textFill>
                  <w14:solidFill>
                    <w14:schemeClr w14:val="tx1"/>
                  </w14:solidFill>
                </w14:textFill>
              </w:rPr>
              <w:t>30</w:t>
            </w:r>
            <w:r>
              <w:rPr>
                <w:rFonts w:hint="eastAsia" w:ascii="仿宋_GB2312" w:hAnsi="宋体" w:eastAsia="仿宋_GB2312" w:cs="Times New Roman"/>
                <w:color w:val="000000" w:themeColor="text1"/>
                <w:kern w:val="0"/>
                <w:szCs w:val="21"/>
                <w14:textFill>
                  <w14:solidFill>
                    <w14:schemeClr w14:val="tx1"/>
                  </w14:solidFill>
                </w14:textFill>
              </w:rPr>
              <w:t>万元以下的罚款，对单位直接负责的主管人员和其他直接责任人员处单位罚款数额百分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七以上百分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以下的罚款，责令停业整顿60—90日。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（3）造成重大工程质量事故的。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对工程勘察企业处30万元罚款，对单位直接负责的主管人员和其他直接责任人员处单位罚款数额百分之十的罚款；降低资质等级。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（4）造成特别</w:t>
            </w:r>
            <w:r>
              <w:rPr>
                <w:rFonts w:ascii="仿宋_GB2312" w:hAnsi="宋体" w:eastAsia="仿宋_GB2312"/>
                <w:color w:val="000000" w:themeColor="text1"/>
                <w:kern w:val="0"/>
                <w:szCs w:val="21"/>
                <w14:textFill>
                  <w14:solidFill>
                    <w14:schemeClr w14:val="tx1"/>
                  </w14:solidFill>
                </w14:textFill>
              </w:rPr>
              <w:t>重大</w:t>
            </w:r>
            <w:r>
              <w:rPr>
                <w:rFonts w:hint="eastAsia" w:ascii="仿宋_GB2312" w:hAnsi="宋体" w:eastAsia="仿宋_GB2312"/>
                <w:color w:val="000000" w:themeColor="text1"/>
                <w:kern w:val="0"/>
                <w:szCs w:val="21"/>
                <w14:textFill>
                  <w14:solidFill>
                    <w14:schemeClr w14:val="tx1"/>
                  </w14:solidFill>
                </w14:textFill>
              </w:rPr>
              <w:t>工程质量事故的。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对工程勘察企业处30万元罚款，对单位直接负责的主管人员和其他直接责任人员处单位罚款数额百分之十的罚款；吊销资质证书。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7"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228</w:t>
            </w:r>
          </w:p>
        </w:tc>
        <w:tc>
          <w:tcPr>
            <w:tcW w:w="1488"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勘察企业有下列行为之一的：（一）使用的勘察仪器、设备不满足相关规定；（二）司钻员、描述员、土工试验员等关键岗位作业人员未接受专业培训；（三）未按规定参加建设单位组织的勘察技术交底或者验槽；（四）原始记录弄虚作假；（五）未将钻探、取样、原位测试、室内试验等主要过程的影像资料留存备查；（六）未按规定及时将工程勘察文件和勘探、试验、测试原始记录及成果、质量安全管理记录归档保存。</w:t>
            </w:r>
          </w:p>
        </w:tc>
        <w:tc>
          <w:tcPr>
            <w:tcW w:w="1062"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《建设工程勘察质量管理办法》第九条、第十四条、十五条、十六条、第十七条</w:t>
            </w:r>
          </w:p>
        </w:tc>
        <w:tc>
          <w:tcPr>
            <w:tcW w:w="4247" w:type="dxa"/>
            <w:gridSpan w:val="2"/>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《建设工程勘察质量管理办法》第二十四条</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工程勘察企业有下列行为之一的，由工程勘察质量监督部门责令改正，处1万元以上3万元以下的罚款：（一）使用的勘察仪器、设备不满足相关规定；（二）司钻员、描述员、土工试验员等关键岗位作业人员未接受专业培训；（三）未按规定参加建设单位组织的勘察技术交底或者验槽；（四）原始记录弄虚作假；（五）未将钻探、取样、原位测试、室内试验等主要过程的影像资料留存备查；（六）未按规定及时将工程勘察文件和勘探、试验、测试原始记录及成果、质量安全管理记录归档保存。</w:t>
            </w:r>
          </w:p>
          <w:p>
            <w:pPr>
              <w:rPr>
                <w:color w:val="000000" w:themeColor="text1"/>
                <w14:textFill>
                  <w14:solidFill>
                    <w14:schemeClr w14:val="tx1"/>
                  </w14:solidFill>
                </w14:textFill>
              </w:rPr>
            </w:pPr>
          </w:p>
          <w:p>
            <w:pPr>
              <w:widowControl/>
              <w:spacing w:line="240" w:lineRule="auto"/>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《建设工程勘察质量管理办法》第二十七条</w:t>
            </w:r>
          </w:p>
          <w:p>
            <w:pPr>
              <w:spacing w:line="240" w:lineRule="auto"/>
              <w:ind w:firstLine="210" w:firstLineChars="100"/>
              <w:rPr>
                <w:color w:val="000000" w:themeColor="text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依照本办法规定，给予建设单位、勘察企业罚款处罚的，由工程勘察质量监督部门对建设单位、勘察企业的法定代表人和其他直接责任人员处以企业罚款数额的5%以上10%以下的罚款。</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责令改正,对工程勘察企业处1万元罚款，对企业的法定代表人和其他直接责任人员处以企业罚款数额的百分之五的罚款。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责令改正，对工程勘察企业处1万元以上</w:t>
            </w:r>
            <w:r>
              <w:rPr>
                <w:rFonts w:ascii="仿宋_GB2312" w:hAnsi="宋体" w:eastAsia="仿宋_GB2312" w:cs="Times New Roman"/>
                <w:color w:val="000000" w:themeColor="text1"/>
                <w:kern w:val="0"/>
                <w:szCs w:val="21"/>
                <w14:textFill>
                  <w14:solidFill>
                    <w14:schemeClr w14:val="tx1"/>
                  </w14:solidFill>
                </w14:textFill>
              </w:rPr>
              <w:t>2</w:t>
            </w:r>
            <w:r>
              <w:rPr>
                <w:rFonts w:hint="eastAsia" w:ascii="仿宋_GB2312" w:hAnsi="宋体" w:eastAsia="仿宋_GB2312" w:cs="Times New Roman"/>
                <w:color w:val="000000" w:themeColor="text1"/>
                <w:kern w:val="0"/>
                <w:szCs w:val="21"/>
                <w14:textFill>
                  <w14:solidFill>
                    <w14:schemeClr w14:val="tx1"/>
                  </w14:solidFill>
                </w14:textFill>
              </w:rPr>
              <w:t>万元以下的罚款，对企业的法定代表人和其他直接责任人员处以企业罚款数额的百分之五以上百分之七点五以下的罚款。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6"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vMerge w:val="restart"/>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（1）2年内2次及以上同类型违法的；（2）拒不改正违法行为的。</w:t>
            </w:r>
          </w:p>
        </w:tc>
        <w:tc>
          <w:tcPr>
            <w:tcW w:w="3232" w:type="dxa"/>
            <w:vMerge w:val="restart"/>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责令改正，对工程勘察企业处</w:t>
            </w:r>
            <w:r>
              <w:rPr>
                <w:rFonts w:ascii="仿宋_GB2312" w:hAnsi="宋体" w:eastAsia="仿宋_GB2312" w:cs="Times New Roman"/>
                <w:color w:val="000000" w:themeColor="text1"/>
                <w:kern w:val="0"/>
                <w:szCs w:val="21"/>
                <w14:textFill>
                  <w14:solidFill>
                    <w14:schemeClr w14:val="tx1"/>
                  </w14:solidFill>
                </w14:textFill>
              </w:rPr>
              <w:t>2</w:t>
            </w:r>
            <w:r>
              <w:rPr>
                <w:rFonts w:hint="eastAsia" w:ascii="仿宋_GB2312" w:hAnsi="宋体" w:eastAsia="仿宋_GB2312" w:cs="Times New Roman"/>
                <w:color w:val="000000" w:themeColor="text1"/>
                <w:kern w:val="0"/>
                <w:szCs w:val="21"/>
                <w14:textFill>
                  <w14:solidFill>
                    <w14:schemeClr w14:val="tx1"/>
                  </w14:solidFill>
                </w14:textFill>
              </w:rPr>
              <w:t>万元以上</w:t>
            </w:r>
            <w:r>
              <w:rPr>
                <w:rFonts w:ascii="仿宋_GB2312" w:hAnsi="宋体" w:eastAsia="仿宋_GB2312" w:cs="Times New Roman"/>
                <w:color w:val="000000" w:themeColor="text1"/>
                <w:kern w:val="0"/>
                <w:szCs w:val="21"/>
                <w14:textFill>
                  <w14:solidFill>
                    <w14:schemeClr w14:val="tx1"/>
                  </w14:solidFill>
                </w14:textFill>
              </w:rPr>
              <w:t>3</w:t>
            </w:r>
            <w:r>
              <w:rPr>
                <w:rFonts w:hint="eastAsia" w:ascii="仿宋_GB2312" w:hAnsi="宋体" w:eastAsia="仿宋_GB2312" w:cs="Times New Roman"/>
                <w:color w:val="000000" w:themeColor="text1"/>
                <w:kern w:val="0"/>
                <w:szCs w:val="21"/>
                <w14:textFill>
                  <w14:solidFill>
                    <w14:schemeClr w14:val="tx1"/>
                  </w14:solidFill>
                </w14:textFill>
              </w:rPr>
              <w:t>万元以下的罚款，对企业的法定代表人和其他直接责任人员处以企业罚款数额的百分之七点五以上百分之十以下的罚款。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vMerge w:val="continue"/>
            <w:tcBorders>
              <w:tl2br w:val="nil"/>
              <w:tr2bl w:val="nil"/>
            </w:tcBorders>
            <w:tcMar>
              <w:top w:w="15" w:type="dxa"/>
              <w:left w:w="15" w:type="dxa"/>
              <w:bottom w:w="15" w:type="dxa"/>
              <w:right w:w="15" w:type="dxa"/>
            </w:tcMar>
            <w:vAlign w:val="center"/>
          </w:tcPr>
          <w:p>
            <w:pPr>
              <w:spacing w:line="240" w:lineRule="auto"/>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232" w:type="dxa"/>
            <w:vMerge w:val="continue"/>
            <w:tcBorders>
              <w:tl2br w:val="nil"/>
              <w:tr2bl w:val="nil"/>
            </w:tcBorders>
            <w:tcMar>
              <w:top w:w="15" w:type="dxa"/>
              <w:left w:w="15" w:type="dxa"/>
              <w:bottom w:w="15" w:type="dxa"/>
              <w:right w:w="15" w:type="dxa"/>
            </w:tcMar>
            <w:vAlign w:val="center"/>
          </w:tcPr>
          <w:p>
            <w:pPr>
              <w:widowControl/>
              <w:spacing w:line="240" w:lineRule="auto"/>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229</w:t>
            </w:r>
          </w:p>
        </w:tc>
        <w:tc>
          <w:tcPr>
            <w:tcW w:w="1488"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施工单位未对建筑材料、建筑构配件、设备和商品混凝土进行检验，或者未对涉及结构安全的试块、试件以及有关材料取样检测的</w:t>
            </w:r>
          </w:p>
        </w:tc>
        <w:tc>
          <w:tcPr>
            <w:tcW w:w="1062"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《建设工程质量管理条例》第二十九条</w:t>
            </w:r>
          </w:p>
        </w:tc>
        <w:tc>
          <w:tcPr>
            <w:tcW w:w="4247"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《建设工程质量管理条例》第六十五条</w:t>
            </w:r>
          </w:p>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《建设工程质量管理条例》第七十三条</w:t>
            </w:r>
          </w:p>
          <w:p>
            <w:pPr>
              <w:widowControl/>
              <w:spacing w:line="240" w:lineRule="auto"/>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w:t>
            </w:r>
            <w:r>
              <w:rPr>
                <w:rFonts w:ascii="仿宋_GB2312" w:hAnsi="宋体" w:eastAsia="仿宋_GB2312" w:cs="Times New Roman"/>
                <w:color w:val="000000" w:themeColor="text1"/>
                <w:kern w:val="0"/>
                <w:szCs w:val="21"/>
                <w14:textFill>
                  <w14:solidFill>
                    <w14:schemeClr w14:val="tx1"/>
                  </w14:solidFill>
                </w14:textFill>
              </w:rPr>
              <w:t>10</w:t>
            </w:r>
            <w:r>
              <w:rPr>
                <w:rFonts w:hint="eastAsia" w:ascii="仿宋_GB2312" w:hAnsi="宋体" w:eastAsia="仿宋_GB2312" w:cs="Times New Roman"/>
                <w:color w:val="000000" w:themeColor="text1"/>
                <w:kern w:val="0"/>
                <w:szCs w:val="21"/>
                <w14:textFill>
                  <w14:solidFill>
                    <w14:schemeClr w14:val="tx1"/>
                  </w14:solidFill>
                </w14:textFill>
              </w:rPr>
              <w:t>万元罚款，对单位直接负责的主管人员和其他直接责任人员处单位罚款数额百分之五的罚款。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7"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未造成质量事故，不具有从轻、从重情形的。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责令改正，处10万元以上15万元以下的罚款，对单位直接负责的主管人员和其他直接责任人员处单位罚款数额百分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之五</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人以下重伤，或者100万以上</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w:t>
            </w:r>
            <w:r>
              <w:rPr>
                <w:rFonts w:ascii="仿宋_GB2312" w:hAnsi="宋体" w:eastAsia="仿宋_GB2312" w:cs="Times New Roman"/>
                <w:color w:val="000000" w:themeColor="text1"/>
                <w:kern w:val="0"/>
                <w:szCs w:val="21"/>
                <w14:textFill>
                  <w14:solidFill>
                    <w14:schemeClr w14:val="tx1"/>
                  </w14:solidFill>
                </w14:textFill>
              </w:rPr>
              <w:t>5</w:t>
            </w:r>
            <w:r>
              <w:rPr>
                <w:rFonts w:hint="eastAsia" w:ascii="仿宋_GB2312" w:hAnsi="宋体" w:eastAsia="仿宋_GB2312" w:cs="Times New Roman"/>
                <w:color w:val="000000" w:themeColor="text1"/>
                <w:kern w:val="0"/>
                <w:szCs w:val="21"/>
                <w14:textFill>
                  <w14:solidFill>
                    <w14:schemeClr w14:val="tx1"/>
                  </w14:solidFill>
                </w14:textFill>
              </w:rPr>
              <w:t>万元以上</w:t>
            </w:r>
            <w:r>
              <w:rPr>
                <w:rFonts w:ascii="仿宋_GB2312" w:hAnsi="宋体" w:eastAsia="仿宋_GB2312" w:cs="Times New Roman"/>
                <w:color w:val="000000" w:themeColor="text1"/>
                <w:kern w:val="0"/>
                <w:szCs w:val="21"/>
                <w14:textFill>
                  <w14:solidFill>
                    <w14:schemeClr w14:val="tx1"/>
                  </w14:solidFill>
                </w14:textFill>
              </w:rPr>
              <w:t>17</w:t>
            </w:r>
            <w:r>
              <w:rPr>
                <w:rFonts w:hint="eastAsia" w:ascii="仿宋_GB2312" w:hAnsi="宋体" w:eastAsia="仿宋_GB2312" w:cs="Times New Roman"/>
                <w:color w:val="000000" w:themeColor="text1"/>
                <w:kern w:val="0"/>
                <w:szCs w:val="21"/>
                <w14:textFill>
                  <w14:solidFill>
                    <w14:schemeClr w14:val="tx1"/>
                  </w14:solidFill>
                </w14:textFill>
              </w:rPr>
              <w:t>万元以下的罚款，对单位直接负责的主管人员和其他直接责任人员处单位罚款数额百分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之七</w:t>
            </w:r>
            <w:r>
              <w:rPr>
                <w:rFonts w:hint="eastAsia" w:ascii="仿宋_GB2312" w:hAnsi="宋体" w:eastAsia="仿宋_GB2312" w:cs="Times New Roman"/>
                <w:color w:val="000000" w:themeColor="text1"/>
                <w:kern w:val="0"/>
                <w:szCs w:val="21"/>
                <w14:textFill>
                  <w14:solidFill>
                    <w14:schemeClr w14:val="tx1"/>
                  </w14:solidFill>
                </w14:textFill>
              </w:rPr>
              <w:t>以上百分之八以下的罚款，责令停业整顿30-</w:t>
            </w:r>
            <w:r>
              <w:rPr>
                <w:rFonts w:ascii="仿宋_GB2312" w:hAnsi="宋体" w:eastAsia="仿宋_GB2312" w:cs="Times New Roman"/>
                <w:color w:val="000000" w:themeColor="text1"/>
                <w:kern w:val="0"/>
                <w:szCs w:val="21"/>
                <w14:textFill>
                  <w14:solidFill>
                    <w14:schemeClr w14:val="tx1"/>
                  </w14:solidFill>
                </w14:textFill>
              </w:rPr>
              <w:t>60日</w:t>
            </w:r>
            <w:r>
              <w:rPr>
                <w:rFonts w:hint="eastAsia" w:ascii="仿宋_GB2312" w:hAnsi="宋体" w:eastAsia="仿宋_GB2312"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（2）</w:t>
            </w:r>
            <w:r>
              <w:rPr>
                <w:rFonts w:hint="eastAsia" w:ascii="仿宋" w:hAnsi="仿宋" w:eastAsia="仿宋"/>
                <w:color w:val="000000" w:themeColor="text1"/>
                <w:szCs w:val="21"/>
                <w14:textFill>
                  <w14:solidFill>
                    <w14:schemeClr w14:val="tx1"/>
                  </w14:solidFill>
                </w14:textFill>
              </w:rPr>
              <w:t>①</w:t>
            </w:r>
            <w:r>
              <w:rPr>
                <w:rFonts w:hint="eastAsia" w:ascii="仿宋_GB2312" w:hAnsi="宋体" w:eastAsia="仿宋_GB2312"/>
                <w:color w:val="000000" w:themeColor="text1"/>
                <w:szCs w:val="21"/>
                <w14:textFill>
                  <w14:solidFill>
                    <w14:schemeClr w14:val="tx1"/>
                  </w14:solidFill>
                </w14:textFill>
              </w:rPr>
              <w:t>造成较大质量事故（3人以上5人以下死亡，或者10人以上20人以下重伤，或者1000万元以上2000万元以下直接经济损失）的；</w:t>
            </w:r>
            <w:r>
              <w:rPr>
                <w:rFonts w:hint="eastAsia" w:ascii="仿宋" w:hAnsi="仿宋" w:eastAsia="仿宋"/>
                <w:color w:val="000000" w:themeColor="text1"/>
                <w:szCs w:val="21"/>
                <w14:textFill>
                  <w14:solidFill>
                    <w14:schemeClr w14:val="tx1"/>
                  </w14:solidFill>
                </w14:textFill>
              </w:rPr>
              <w:t>②</w:t>
            </w:r>
            <w:r>
              <w:rPr>
                <w:rFonts w:hint="eastAsia" w:ascii="仿宋_GB2312" w:hAnsi="宋体" w:eastAsia="仿宋_GB2312"/>
                <w:color w:val="000000" w:themeColor="text1"/>
                <w:szCs w:val="21"/>
                <w14:textFill>
                  <w14:solidFill>
                    <w14:schemeClr w14:val="tx1"/>
                  </w14:solidFill>
                </w14:textFill>
              </w:rPr>
              <w:t>造成重要的检验批达不到设计要求的。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w:t>
            </w:r>
            <w:r>
              <w:rPr>
                <w:rFonts w:ascii="仿宋_GB2312" w:hAnsi="宋体" w:eastAsia="仿宋_GB2312" w:cs="Times New Roman"/>
                <w:color w:val="000000" w:themeColor="text1"/>
                <w:kern w:val="0"/>
                <w:szCs w:val="21"/>
                <w14:textFill>
                  <w14:solidFill>
                    <w14:schemeClr w14:val="tx1"/>
                  </w14:solidFill>
                </w14:textFill>
              </w:rPr>
              <w:t>7</w:t>
            </w:r>
            <w:r>
              <w:rPr>
                <w:rFonts w:hint="eastAsia" w:ascii="仿宋_GB2312" w:hAnsi="宋体" w:eastAsia="仿宋_GB2312" w:cs="Times New Roman"/>
                <w:color w:val="000000" w:themeColor="text1"/>
                <w:kern w:val="0"/>
                <w:szCs w:val="21"/>
                <w14:textFill>
                  <w14:solidFill>
                    <w14:schemeClr w14:val="tx1"/>
                  </w14:solidFill>
                </w14:textFill>
              </w:rPr>
              <w:t>万元以上</w:t>
            </w:r>
            <w:r>
              <w:rPr>
                <w:rFonts w:ascii="仿宋_GB2312" w:hAnsi="宋体" w:eastAsia="仿宋_GB2312" w:cs="Times New Roman"/>
                <w:color w:val="000000" w:themeColor="text1"/>
                <w:kern w:val="0"/>
                <w:szCs w:val="21"/>
                <w14:textFill>
                  <w14:solidFill>
                    <w14:schemeClr w14:val="tx1"/>
                  </w14:solidFill>
                </w14:textFill>
              </w:rPr>
              <w:t>19</w:t>
            </w:r>
            <w:r>
              <w:rPr>
                <w:rFonts w:hint="eastAsia" w:ascii="仿宋_GB2312" w:hAnsi="宋体" w:eastAsia="仿宋_GB2312" w:cs="Times New Roman"/>
                <w:color w:val="000000" w:themeColor="text1"/>
                <w:kern w:val="0"/>
                <w:szCs w:val="21"/>
                <w14:textFill>
                  <w14:solidFill>
                    <w14:schemeClr w14:val="tx1"/>
                  </w14:solidFill>
                </w14:textFill>
              </w:rPr>
              <w:t>万元以下的罚款，对单位直接负责的主管人员和其他直接责任人员处单位罚款数额百分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之八</w:t>
            </w:r>
            <w:r>
              <w:rPr>
                <w:rFonts w:hint="eastAsia" w:ascii="仿宋_GB2312" w:hAnsi="宋体" w:eastAsia="仿宋_GB2312" w:cs="Times New Roman"/>
                <w:color w:val="000000" w:themeColor="text1"/>
                <w:kern w:val="0"/>
                <w:szCs w:val="21"/>
                <w14:textFill>
                  <w14:solidFill>
                    <w14:schemeClr w14:val="tx1"/>
                  </w14:solidFill>
                </w14:textFill>
              </w:rPr>
              <w:t>以上百分之九以下的罚款，责令停业整顿</w:t>
            </w:r>
            <w:r>
              <w:rPr>
                <w:rFonts w:ascii="仿宋_GB2312" w:hAnsi="宋体" w:eastAsia="仿宋_GB2312" w:cs="Times New Roman"/>
                <w:color w:val="000000" w:themeColor="text1"/>
                <w:kern w:val="0"/>
                <w:szCs w:val="21"/>
                <w14:textFill>
                  <w14:solidFill>
                    <w14:schemeClr w14:val="tx1"/>
                  </w14:solidFill>
                </w14:textFill>
              </w:rPr>
              <w:t>6</w:t>
            </w:r>
            <w:r>
              <w:rPr>
                <w:rFonts w:hint="eastAsia" w:ascii="仿宋_GB2312" w:hAnsi="宋体" w:eastAsia="仿宋_GB2312" w:cs="Times New Roman"/>
                <w:color w:val="000000" w:themeColor="text1"/>
                <w:kern w:val="0"/>
                <w:szCs w:val="21"/>
                <w14:textFill>
                  <w14:solidFill>
                    <w14:schemeClr w14:val="tx1"/>
                  </w14:solidFill>
                </w14:textFill>
              </w:rPr>
              <w:t>0-</w:t>
            </w:r>
            <w:r>
              <w:rPr>
                <w:rFonts w:ascii="仿宋_GB2312" w:hAnsi="宋体" w:eastAsia="仿宋_GB2312" w:cs="Times New Roman"/>
                <w:color w:val="000000" w:themeColor="text1"/>
                <w:kern w:val="0"/>
                <w:szCs w:val="21"/>
                <w14:textFill>
                  <w14:solidFill>
                    <w14:schemeClr w14:val="tx1"/>
                  </w14:solidFill>
                </w14:textFill>
              </w:rPr>
              <w:t>9</w:t>
            </w:r>
            <w:r>
              <w:rPr>
                <w:rFonts w:hint="eastAsia" w:ascii="仿宋_GB2312" w:hAnsi="宋体" w:eastAsia="仿宋_GB2312" w:cs="Times New Roman"/>
                <w:color w:val="000000" w:themeColor="text1"/>
                <w:kern w:val="0"/>
                <w:szCs w:val="21"/>
                <w14:textFill>
                  <w14:solidFill>
                    <w14:schemeClr w14:val="tx1"/>
                  </w14:solidFill>
                </w14:textFill>
              </w:rPr>
              <w:t>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造成较大质量事故（5人以上7人以下死亡，或者20人以上30人以下重伤，或者2000万元以上3000万元以下直接经济损失）的；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造成重要的分项工程质量不符合要求的。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w:t>
            </w:r>
            <w:r>
              <w:rPr>
                <w:rFonts w:ascii="仿宋_GB2312" w:hAnsi="宋体" w:eastAsia="仿宋_GB2312" w:cs="Times New Roman"/>
                <w:color w:val="000000" w:themeColor="text1"/>
                <w:kern w:val="0"/>
                <w:szCs w:val="21"/>
                <w14:textFill>
                  <w14:solidFill>
                    <w14:schemeClr w14:val="tx1"/>
                  </w14:solidFill>
                </w14:textFill>
              </w:rPr>
              <w:t>9</w:t>
            </w:r>
            <w:r>
              <w:rPr>
                <w:rFonts w:hint="eastAsia" w:ascii="仿宋_GB2312" w:hAnsi="宋体" w:eastAsia="仿宋_GB2312" w:cs="Times New Roman"/>
                <w:color w:val="000000" w:themeColor="text1"/>
                <w:kern w:val="0"/>
                <w:szCs w:val="21"/>
                <w14:textFill>
                  <w14:solidFill>
                    <w14:schemeClr w14:val="tx1"/>
                  </w14:solidFill>
                </w14:textFill>
              </w:rPr>
              <w:t>万元以上20万元以下的罚款，对单位直接负责的主管人员和其他直接责任人员处单位罚款数额百分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九以上百分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十以下的罚款，责令停业整顿</w:t>
            </w:r>
            <w:r>
              <w:rPr>
                <w:rFonts w:ascii="仿宋_GB2312" w:hAnsi="宋体" w:eastAsia="仿宋_GB2312" w:cs="Times New Roman"/>
                <w:color w:val="000000" w:themeColor="text1"/>
                <w:kern w:val="0"/>
                <w:szCs w:val="21"/>
                <w14:textFill>
                  <w14:solidFill>
                    <w14:schemeClr w14:val="tx1"/>
                  </w14:solidFill>
                </w14:textFill>
              </w:rPr>
              <w:t>9</w:t>
            </w:r>
            <w:r>
              <w:rPr>
                <w:rFonts w:hint="eastAsia" w:ascii="仿宋_GB2312" w:hAnsi="宋体" w:eastAsia="仿宋_GB2312" w:cs="Times New Roman"/>
                <w:color w:val="000000" w:themeColor="text1"/>
                <w:kern w:val="0"/>
                <w:szCs w:val="21"/>
                <w14:textFill>
                  <w14:solidFill>
                    <w14:schemeClr w14:val="tx1"/>
                  </w14:solidFill>
                </w14:textFill>
              </w:rPr>
              <w:t>0-</w:t>
            </w:r>
            <w:r>
              <w:rPr>
                <w:rFonts w:ascii="仿宋_GB2312" w:hAnsi="宋体" w:eastAsia="仿宋_GB2312" w:cs="Times New Roman"/>
                <w:color w:val="000000" w:themeColor="text1"/>
                <w:kern w:val="0"/>
                <w:szCs w:val="21"/>
                <w14:textFill>
                  <w14:solidFill>
                    <w14:schemeClr w14:val="tx1"/>
                  </w14:solidFill>
                </w14:textFill>
              </w:rPr>
              <w:t>12</w:t>
            </w:r>
            <w:r>
              <w:rPr>
                <w:rFonts w:hint="eastAsia" w:ascii="仿宋_GB2312" w:hAnsi="宋体" w:eastAsia="仿宋_GB2312" w:cs="Times New Roman"/>
                <w:color w:val="000000" w:themeColor="text1"/>
                <w:kern w:val="0"/>
                <w:szCs w:val="21"/>
                <w14:textFill>
                  <w14:solidFill>
                    <w14:schemeClr w14:val="tx1"/>
                  </w14:solidFill>
                </w14:textFill>
              </w:rPr>
              <w:t>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造成较大质量事故（7人以上10人以下死亡，或者30人以上50人以下重伤，或者3000万元以上5000万元以下直接经济损失）的；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造成重要分部工程质量不符合要求，经返修或加固处理才能满足安全使用要求的。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w:t>
            </w:r>
            <w:r>
              <w:rPr>
                <w:rFonts w:ascii="仿宋_GB2312" w:hAnsi="宋体" w:eastAsia="仿宋_GB2312" w:cs="Times New Roman"/>
                <w:color w:val="000000" w:themeColor="text1"/>
                <w:kern w:val="0"/>
                <w:szCs w:val="21"/>
                <w14:textFill>
                  <w14:solidFill>
                    <w14:schemeClr w14:val="tx1"/>
                  </w14:solidFill>
                </w14:textFill>
              </w:rPr>
              <w:t>9</w:t>
            </w:r>
            <w:r>
              <w:rPr>
                <w:rFonts w:hint="eastAsia" w:ascii="仿宋_GB2312" w:hAnsi="宋体" w:eastAsia="仿宋_GB2312" w:cs="Times New Roman"/>
                <w:color w:val="000000" w:themeColor="text1"/>
                <w:kern w:val="0"/>
                <w:szCs w:val="21"/>
                <w14:textFill>
                  <w14:solidFill>
                    <w14:schemeClr w14:val="tx1"/>
                  </w14:solidFill>
                </w14:textFill>
              </w:rPr>
              <w:t>万元以上20万元以下的罚款，对单位直接负责的主管人员和其他直接责任人员处单位罚款数额百分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的罚款，责令停业整顿</w:t>
            </w:r>
            <w:r>
              <w:rPr>
                <w:rFonts w:ascii="仿宋_GB2312" w:hAnsi="宋体" w:eastAsia="仿宋_GB2312" w:cs="Times New Roman"/>
                <w:color w:val="000000" w:themeColor="text1"/>
                <w:kern w:val="0"/>
                <w:szCs w:val="21"/>
                <w14:textFill>
                  <w14:solidFill>
                    <w14:schemeClr w14:val="tx1"/>
                  </w14:solidFill>
                </w14:textFill>
              </w:rPr>
              <w:t>120</w:t>
            </w:r>
            <w:r>
              <w:rPr>
                <w:rFonts w:hint="eastAsia" w:ascii="仿宋_GB2312" w:hAnsi="宋体" w:eastAsia="仿宋_GB2312" w:cs="Times New Roman"/>
                <w:color w:val="000000" w:themeColor="text1"/>
                <w:kern w:val="0"/>
                <w:szCs w:val="21"/>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18</w:t>
            </w:r>
            <w:r>
              <w:rPr>
                <w:rFonts w:hint="eastAsia" w:ascii="仿宋_GB2312" w:hAnsi="宋体" w:eastAsia="仿宋_GB2312" w:cs="Times New Roman"/>
                <w:color w:val="000000" w:themeColor="text1"/>
                <w:kern w:val="0"/>
                <w:szCs w:val="21"/>
                <w14:textFill>
                  <w14:solidFill>
                    <w14:schemeClr w14:val="tx1"/>
                  </w14:solidFill>
                </w14:textFill>
              </w:rPr>
              <w:t>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造成重大质量事故的；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造成分部工程存在严重缺陷，经返修和加固处理仍不能满足安全使用要求的。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责令改正，处20万元的罚款，对单位直接负责的主管人员和其他直接责任人员处单位罚款数额百分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造成特别重大质量事故的；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造成单位（子单位）工程存在严重缺陷，经返修和加固处理仍不能满足安全使用要求的。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责令改正，处20万元的罚款，对单位直接负责的主管人员和其他直接责任人员处单位罚款数额百分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6"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230</w:t>
            </w:r>
          </w:p>
        </w:tc>
        <w:tc>
          <w:tcPr>
            <w:tcW w:w="1488" w:type="dxa"/>
            <w:gridSpan w:val="3"/>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审查机构有下列行为之一的：（一）超出范围从事施工图审查的；</w:t>
            </w:r>
          </w:p>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（二）使用不符合条件审查人员的；</w:t>
            </w:r>
          </w:p>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（三）未按规定的内容进行审查的；</w:t>
            </w:r>
          </w:p>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四）未按规定上报审查过程中发现的违法违规行为的；（五）未按规定填写审查意见告知书的；（六）未按规定在审查合格书和施工图上签字盖章的；（七）已出具审查合格书的施工图，仍有违反法律、法规和工程建设强制性标准的。</w:t>
            </w:r>
          </w:p>
        </w:tc>
        <w:tc>
          <w:tcPr>
            <w:tcW w:w="1062" w:type="dxa"/>
            <w:gridSpan w:val="2"/>
            <w:vMerge w:val="restart"/>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《房屋建筑和市政基础设施工程施工图设计文件审查管理办法》第六条、第七条第二项、第八条第二项、第十一条、第十三条第一款、第十五条第二款</w:t>
            </w:r>
          </w:p>
        </w:tc>
        <w:tc>
          <w:tcPr>
            <w:tcW w:w="4247"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《房屋建筑和市政基础设施工程施工图设计文件审查管理办法》第二十四条</w:t>
            </w:r>
          </w:p>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w:t>
            </w:r>
            <w:r>
              <w:rPr>
                <w:rFonts w:ascii="仿宋_GB2312" w:hAnsi="宋体" w:eastAsia="仿宋_GB2312"/>
                <w:color w:val="000000" w:themeColor="text1"/>
                <w:szCs w:val="21"/>
                <w14:textFill>
                  <w14:solidFill>
                    <w14:schemeClr w14:val="tx1"/>
                  </w14:solidFill>
                </w14:textFill>
              </w:rPr>
              <w:br w:type="textWrapping"/>
            </w:r>
            <w:r>
              <w:rPr>
                <w:rFonts w:ascii="仿宋_GB2312" w:hAnsi="宋体" w:eastAsia="仿宋_GB2312"/>
                <w:color w:val="000000" w:themeColor="text1"/>
                <w:szCs w:val="21"/>
                <w14:textFill>
                  <w14:solidFill>
                    <w14:schemeClr w14:val="tx1"/>
                  </w14:solidFill>
                </w14:textFill>
              </w:rPr>
              <w:t>（一）超出范围从事施工图审查的；</w:t>
            </w:r>
            <w:r>
              <w:rPr>
                <w:rFonts w:ascii="仿宋_GB2312" w:hAnsi="宋体" w:eastAsia="仿宋_GB2312"/>
                <w:color w:val="000000" w:themeColor="text1"/>
                <w:szCs w:val="21"/>
                <w14:textFill>
                  <w14:solidFill>
                    <w14:schemeClr w14:val="tx1"/>
                  </w14:solidFill>
                </w14:textFill>
              </w:rPr>
              <w:br w:type="textWrapping"/>
            </w:r>
            <w:r>
              <w:rPr>
                <w:rFonts w:ascii="仿宋_GB2312" w:hAnsi="宋体" w:eastAsia="仿宋_GB2312"/>
                <w:color w:val="000000" w:themeColor="text1"/>
                <w:szCs w:val="21"/>
                <w14:textFill>
                  <w14:solidFill>
                    <w14:schemeClr w14:val="tx1"/>
                  </w14:solidFill>
                </w14:textFill>
              </w:rPr>
              <w:t>（二）使用不符合条件审查人员的；</w:t>
            </w:r>
            <w:r>
              <w:rPr>
                <w:rFonts w:ascii="仿宋_GB2312" w:hAnsi="宋体" w:eastAsia="仿宋_GB2312"/>
                <w:color w:val="000000" w:themeColor="text1"/>
                <w:szCs w:val="21"/>
                <w14:textFill>
                  <w14:solidFill>
                    <w14:schemeClr w14:val="tx1"/>
                  </w14:solidFill>
                </w14:textFill>
              </w:rPr>
              <w:br w:type="textWrapping"/>
            </w:r>
            <w:r>
              <w:rPr>
                <w:rFonts w:ascii="仿宋_GB2312" w:hAnsi="宋体" w:eastAsia="仿宋_GB2312"/>
                <w:color w:val="000000" w:themeColor="text1"/>
                <w:szCs w:val="21"/>
                <w14:textFill>
                  <w14:solidFill>
                    <w14:schemeClr w14:val="tx1"/>
                  </w14:solidFill>
                </w14:textFill>
              </w:rPr>
              <w:t>（三）未按规定的内容进行审查的；</w:t>
            </w:r>
            <w:r>
              <w:rPr>
                <w:rFonts w:ascii="仿宋_GB2312" w:hAnsi="宋体" w:eastAsia="仿宋_GB2312"/>
                <w:color w:val="000000" w:themeColor="text1"/>
                <w:szCs w:val="21"/>
                <w14:textFill>
                  <w14:solidFill>
                    <w14:schemeClr w14:val="tx1"/>
                  </w14:solidFill>
                </w14:textFill>
              </w:rPr>
              <w:br w:type="textWrapping"/>
            </w:r>
            <w:r>
              <w:rPr>
                <w:rFonts w:ascii="仿宋_GB2312" w:hAnsi="宋体" w:eastAsia="仿宋_GB2312"/>
                <w:color w:val="000000" w:themeColor="text1"/>
                <w:szCs w:val="21"/>
                <w14:textFill>
                  <w14:solidFill>
                    <w14:schemeClr w14:val="tx1"/>
                  </w14:solidFill>
                </w14:textFill>
              </w:rPr>
              <w:t>（四）未按规定上报审查过程中发现的违法违规行为的；</w:t>
            </w:r>
            <w:r>
              <w:rPr>
                <w:rFonts w:ascii="仿宋_GB2312" w:hAnsi="宋体" w:eastAsia="仿宋_GB2312"/>
                <w:color w:val="000000" w:themeColor="text1"/>
                <w:szCs w:val="21"/>
                <w14:textFill>
                  <w14:solidFill>
                    <w14:schemeClr w14:val="tx1"/>
                  </w14:solidFill>
                </w14:textFill>
              </w:rPr>
              <w:br w:type="textWrapping"/>
            </w:r>
            <w:r>
              <w:rPr>
                <w:rFonts w:ascii="仿宋_GB2312" w:hAnsi="宋体" w:eastAsia="仿宋_GB2312"/>
                <w:color w:val="000000" w:themeColor="text1"/>
                <w:szCs w:val="21"/>
                <w14:textFill>
                  <w14:solidFill>
                    <w14:schemeClr w14:val="tx1"/>
                  </w14:solidFill>
                </w14:textFill>
              </w:rPr>
              <w:t>（五）未按规定填写审查意见告知书的；</w:t>
            </w:r>
            <w:r>
              <w:rPr>
                <w:rFonts w:ascii="仿宋_GB2312" w:hAnsi="宋体" w:eastAsia="仿宋_GB2312"/>
                <w:color w:val="000000" w:themeColor="text1"/>
                <w:szCs w:val="21"/>
                <w14:textFill>
                  <w14:solidFill>
                    <w14:schemeClr w14:val="tx1"/>
                  </w14:solidFill>
                </w14:textFill>
              </w:rPr>
              <w:br w:type="textWrapping"/>
            </w:r>
            <w:r>
              <w:rPr>
                <w:rFonts w:ascii="仿宋_GB2312" w:hAnsi="宋体" w:eastAsia="仿宋_GB2312"/>
                <w:color w:val="000000" w:themeColor="text1"/>
                <w:szCs w:val="21"/>
                <w14:textFill>
                  <w14:solidFill>
                    <w14:schemeClr w14:val="tx1"/>
                  </w14:solidFill>
                </w14:textFill>
              </w:rPr>
              <w:t>（六）未按规定在审查合格书和施工图上签字盖章的；</w:t>
            </w:r>
            <w:r>
              <w:rPr>
                <w:rFonts w:ascii="仿宋_GB2312" w:hAnsi="宋体" w:eastAsia="仿宋_GB2312"/>
                <w:color w:val="000000" w:themeColor="text1"/>
                <w:szCs w:val="21"/>
                <w14:textFill>
                  <w14:solidFill>
                    <w14:schemeClr w14:val="tx1"/>
                  </w14:solidFill>
                </w14:textFill>
              </w:rPr>
              <w:br w:type="textWrapping"/>
            </w:r>
            <w:r>
              <w:rPr>
                <w:rFonts w:ascii="仿宋_GB2312" w:hAnsi="宋体" w:eastAsia="仿宋_GB2312"/>
                <w:color w:val="000000" w:themeColor="text1"/>
                <w:szCs w:val="21"/>
                <w14:textFill>
                  <w14:solidFill>
                    <w14:schemeClr w14:val="tx1"/>
                  </w14:solidFill>
                </w14:textFill>
              </w:rPr>
              <w:t>（七）已出具审查合格书的施工图，仍有违反法律、法规和工程建设强制性标准的。</w:t>
            </w:r>
          </w:p>
          <w:p>
            <w:pPr>
              <w:widowControl/>
              <w:spacing w:line="240" w:lineRule="auto"/>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《房屋建筑和市政基础设施工程施工图设计文件审查管理办法》第二十七条</w:t>
            </w:r>
          </w:p>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依照本办法规定，给予审查机构罚款处罚的，对机构的法定代表人和其他直接责任人员处机构罚款数额5%以上10%以下的罚款，并记入信用档案。</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责令改正，处3万元罚款，对机构的法定代表人和其他直接责任人员处机构罚款数额百分之五的罚款。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2"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责令改正，处3万元罚款，对机构的法定代表人和其他直接责任人员处机构罚款数额百分</w:t>
            </w:r>
            <w:r>
              <w:rPr>
                <w:rFonts w:ascii="仿宋_GB2312" w:hAnsi="宋体" w:eastAsia="仿宋_GB2312" w:cs="Times New Roman"/>
                <w:color w:val="000000" w:themeColor="text1"/>
                <w:kern w:val="0"/>
                <w:szCs w:val="21"/>
                <w14:textFill>
                  <w14:solidFill>
                    <w14:schemeClr w14:val="tx1"/>
                  </w14:solidFill>
                </w14:textFill>
              </w:rPr>
              <w:t>之五</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之七点五</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4"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（1）曾因该违法行为被查处，再次实施违法行为的；（2）经责令改正后，拒绝采取改正措施的。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责令改正，处3万元罚款，对机构的法定代表人和其他直接责任人员处机构罚款数额百分</w:t>
            </w:r>
            <w:r>
              <w:rPr>
                <w:rFonts w:ascii="仿宋_GB2312" w:hAnsi="宋体" w:eastAsia="仿宋_GB2312" w:cs="Times New Roman"/>
                <w:color w:val="000000" w:themeColor="text1"/>
                <w:kern w:val="0"/>
                <w:szCs w:val="21"/>
                <w14:textFill>
                  <w14:solidFill>
                    <w14:schemeClr w14:val="tx1"/>
                  </w14:solidFill>
                </w14:textFill>
              </w:rPr>
              <w:t>之七点五</w:t>
            </w:r>
            <w:r>
              <w:rPr>
                <w:rFonts w:hint="eastAsia" w:ascii="仿宋_GB2312" w:hAnsi="宋体" w:eastAsia="仿宋_GB2312" w:cs="Times New Roman"/>
                <w:color w:val="000000" w:themeColor="text1"/>
                <w:kern w:val="0"/>
                <w:szCs w:val="21"/>
                <w14:textFill>
                  <w14:solidFill>
                    <w14:schemeClr w14:val="tx1"/>
                  </w14:solidFill>
                </w14:textFill>
              </w:rPr>
              <w:t>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7"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231</w:t>
            </w:r>
          </w:p>
        </w:tc>
        <w:tc>
          <w:tcPr>
            <w:tcW w:w="1488"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审查机构出具虚假审查合格书的</w:t>
            </w:r>
          </w:p>
        </w:tc>
        <w:tc>
          <w:tcPr>
            <w:tcW w:w="1062" w:type="dxa"/>
            <w:gridSpan w:val="2"/>
            <w:vMerge w:val="restart"/>
            <w:tcBorders>
              <w:tl2br w:val="nil"/>
              <w:tr2bl w:val="nil"/>
            </w:tcBorders>
            <w:vAlign w:val="center"/>
          </w:tcPr>
          <w:p>
            <w:pPr>
              <w:widowControl/>
              <w:spacing w:line="240" w:lineRule="auto"/>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《房屋建筑和市政基础设施工程施工图设计文件审查管理办法》第十五条第二款</w:t>
            </w:r>
          </w:p>
        </w:tc>
        <w:tc>
          <w:tcPr>
            <w:tcW w:w="4247"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《房屋建筑和市政基础设施工程施工图设计文件审查管理办法》第二十五条第一款</w:t>
            </w:r>
          </w:p>
          <w:p>
            <w:pPr>
              <w:widowControl/>
              <w:spacing w:line="240" w:lineRule="auto"/>
              <w:ind w:firstLine="210" w:firstLineChars="10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审查机构出具虚假审查合格书的，审查合格书无效，县级以上地方人民政府住房城乡建设主管部门处3万元罚款，省、自治区、直辖市人民政府住房城乡建设主管部门不再将其列入审查机构名录。</w:t>
            </w:r>
          </w:p>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《房屋建筑和市政基础设施工程施工图设计文件审查管理办法》第二十七条</w:t>
            </w:r>
          </w:p>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依照本办法规定，给予审查机构罚款处罚的，对机构的法定代表人和其他直接责任人员处机构罚款数额5%以上10%以下的罚款，并记入信用档案。</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责令改正，处3万元罚款，对机构的法定代表人和其他直接责任人员处机构罚款数额百分</w:t>
            </w:r>
            <w:r>
              <w:rPr>
                <w:rFonts w:ascii="仿宋_GB2312" w:hAnsi="宋体" w:eastAsia="仿宋_GB2312" w:cs="Times New Roman"/>
                <w:color w:val="000000" w:themeColor="text1"/>
                <w:kern w:val="0"/>
                <w:szCs w:val="21"/>
                <w14:textFill>
                  <w14:solidFill>
                    <w14:schemeClr w14:val="tx1"/>
                  </w14:solidFill>
                </w14:textFill>
              </w:rPr>
              <w:t>之五</w:t>
            </w:r>
            <w:r>
              <w:rPr>
                <w:rFonts w:hint="eastAsia" w:ascii="仿宋_GB2312" w:hAnsi="宋体" w:eastAsia="仿宋_GB2312" w:cs="Times New Roman"/>
                <w:color w:val="000000" w:themeColor="text1"/>
                <w:kern w:val="0"/>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8"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从重情形</w:t>
            </w:r>
            <w:r>
              <w:rPr>
                <w:rFonts w:hint="eastAsia" w:ascii="仿宋_GB2312" w:hAnsi="宋体" w:eastAsia="仿宋_GB2312"/>
                <w:color w:val="000000" w:themeColor="text1"/>
                <w:kern w:val="0"/>
                <w:szCs w:val="21"/>
                <w14:textFill>
                  <w14:solidFill>
                    <w14:schemeClr w14:val="tx1"/>
                  </w14:solidFill>
                </w14:textFill>
              </w:rPr>
              <w:t>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责令改正，处3万元罚款，对机构的法定代表人和其他直接责任人员处机构罚款数额百分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五以上百分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七点五以下的罚款。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（1）曾发生该违法行为，2年内2次及以上实施同类型违法行为的；（2）经责令改正后，拒绝采取措施改正的。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责令改正，处3万元罚款，对机构的法定代表人和其他直接责任人员处机构罚款数额百分</w:t>
            </w:r>
            <w:r>
              <w:rPr>
                <w:rFonts w:ascii="仿宋_GB2312" w:hAnsi="宋体" w:eastAsia="仿宋_GB2312" w:cs="Times New Roman"/>
                <w:color w:val="000000" w:themeColor="text1"/>
                <w:kern w:val="0"/>
                <w:szCs w:val="21"/>
                <w14:textFill>
                  <w14:solidFill>
                    <w14:schemeClr w14:val="tx1"/>
                  </w14:solidFill>
                </w14:textFill>
              </w:rPr>
              <w:t>之七点五</w:t>
            </w:r>
            <w:r>
              <w:rPr>
                <w:rFonts w:hint="eastAsia" w:ascii="仿宋_GB2312" w:hAnsi="宋体" w:eastAsia="仿宋_GB2312" w:cs="Times New Roman"/>
                <w:color w:val="000000" w:themeColor="text1"/>
                <w:kern w:val="0"/>
                <w:szCs w:val="21"/>
                <w14:textFill>
                  <w14:solidFill>
                    <w14:schemeClr w14:val="tx1"/>
                  </w14:solidFill>
                </w14:textFill>
              </w:rPr>
              <w:t>以上百分之</w:t>
            </w:r>
            <w:r>
              <w:rPr>
                <w:rFonts w:ascii="仿宋_GB2312" w:hAnsi="宋体" w:eastAsia="仿宋_GB2312" w:cs="Times New Roman"/>
                <w:color w:val="000000" w:themeColor="text1"/>
                <w:kern w:val="0"/>
                <w:szCs w:val="21"/>
                <w14:textFill>
                  <w14:solidFill>
                    <w14:schemeClr w14:val="tx1"/>
                  </w14:solidFill>
                </w14:textFill>
              </w:rPr>
              <w:t>十</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2"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232</w:t>
            </w:r>
          </w:p>
        </w:tc>
        <w:tc>
          <w:tcPr>
            <w:tcW w:w="1488" w:type="dxa"/>
            <w:gridSpan w:val="3"/>
            <w:vMerge w:val="restart"/>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已实行执业注册制度的专业的审查人员在审查机构出具的虚假审查合格书上签字的</w:t>
            </w:r>
          </w:p>
        </w:tc>
        <w:tc>
          <w:tcPr>
            <w:tcW w:w="1062" w:type="dxa"/>
            <w:gridSpan w:val="2"/>
            <w:vMerge w:val="restart"/>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《房屋建筑和市政基础设施工程施工图设计文件审查管理办法》第十五条第二款</w:t>
            </w:r>
          </w:p>
        </w:tc>
        <w:tc>
          <w:tcPr>
            <w:tcW w:w="4247"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《房屋建筑和市政基础设施工程施工图设计文件审查管理办法》第二十五条</w:t>
            </w:r>
          </w:p>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审查机构出具虚假审查合格书的，审查合格书无效，县级以上地方人民政府住房城乡建设主管部门处3万元罚款，省、自治区、直辖市人民政府住房城乡建设主管部门不再将其列入审查机构名录。</w:t>
            </w:r>
          </w:p>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审查人员在虚假审查合格书上签字的，终身不得再担任审查人员；对于已实行执业注册制度的专业的审查人员，还应当依照《建设工程质量管理条例》第七十二条、《建设工程安全生产管理条例》第五十八条规定予以处罚。</w:t>
            </w:r>
          </w:p>
          <w:p>
            <w:pPr>
              <w:widowControl/>
              <w:spacing w:line="240" w:lineRule="auto"/>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《建设工程质量管理条例》第七十二条</w:t>
            </w:r>
          </w:p>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违反本条例规定，注册建筑师、注册结构工程师、监理工程师等注册执业人员因过错造成质量事故的，责令停止执业1年；造成重大质量事故的，吊销执业资格证书，5年以内不予注册；情节特别恶劣的，终身不予注册。</w:t>
            </w:r>
          </w:p>
          <w:p>
            <w:pPr>
              <w:widowControl/>
              <w:spacing w:line="240" w:lineRule="auto"/>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《建设工程安全生产管理条例》第五十八条</w:t>
            </w:r>
          </w:p>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责令停止执业3个月。</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责令停止执业3个月以上1年以下。</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（1）因过错造成质量事故的。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责令停止执业1年。</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w:t>
            </w:r>
            <w:r>
              <w:rPr>
                <w:rFonts w:ascii="仿宋_GB2312" w:hAnsi="宋体" w:eastAsia="仿宋_GB2312"/>
                <w:color w:val="000000" w:themeColor="text1"/>
                <w:kern w:val="0"/>
                <w:szCs w:val="21"/>
                <w14:textFill>
                  <w14:solidFill>
                    <w14:schemeClr w14:val="tx1"/>
                  </w14:solidFill>
                </w14:textFill>
              </w:rPr>
              <w:t>较大安全事故的</w:t>
            </w:r>
            <w:r>
              <w:rPr>
                <w:rFonts w:hint="eastAsia" w:ascii="仿宋_GB2312" w:hAnsi="宋体" w:eastAsia="仿宋_GB2312"/>
                <w:color w:val="000000" w:themeColor="text1"/>
                <w:kern w:val="0"/>
                <w:szCs w:val="21"/>
                <w14:textFill>
                  <w14:solidFill>
                    <w14:schemeClr w14:val="tx1"/>
                  </w14:solidFill>
                </w14:textFill>
              </w:rPr>
              <w:t>。</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吊销执业资格证书。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（3）造成重大质量事故的。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吊销执业资格证书，5年内不予注册。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2"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（4）造成特别重大质量故事、重大安全事故的。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Times New Roman"/>
                <w:color w:val="000000" w:themeColor="text1"/>
                <w:szCs w:val="21"/>
                <w:lang w:val="en-US" w:eastAsia="zh-CN"/>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233</w:t>
            </w:r>
          </w:p>
        </w:tc>
        <w:tc>
          <w:tcPr>
            <w:tcW w:w="1488" w:type="dxa"/>
            <w:gridSpan w:val="3"/>
            <w:vMerge w:val="restart"/>
            <w:tcBorders>
              <w:tl2br w:val="nil"/>
              <w:tr2bl w:val="nil"/>
            </w:tcBorders>
            <w:vAlign w:val="center"/>
          </w:tcPr>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建设单位有下列行为之一的：</w:t>
            </w:r>
          </w:p>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（一）压缩合理审查周期的；</w:t>
            </w:r>
          </w:p>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（二）提供不真实送审资料的；</w:t>
            </w:r>
          </w:p>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（三）对审查机构提出不符合法律、法规和工程建设强制性标准要求的。</w:t>
            </w:r>
          </w:p>
        </w:tc>
        <w:tc>
          <w:tcPr>
            <w:tcW w:w="1062" w:type="dxa"/>
            <w:gridSpan w:val="2"/>
            <w:vMerge w:val="restart"/>
            <w:tcBorders>
              <w:tl2br w:val="nil"/>
              <w:tr2bl w:val="nil"/>
            </w:tcBorders>
            <w:vAlign w:val="center"/>
          </w:tcPr>
          <w:p>
            <w:pPr>
              <w:widowControl/>
              <w:spacing w:line="240" w:lineRule="auto"/>
              <w:jc w:val="left"/>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《房屋建筑和市政基础设施工程施工图设计文件审查管理办法》第九条第二款</w:t>
            </w:r>
            <w:r>
              <w:rPr>
                <w:rFonts w:hint="eastAsia" w:ascii="仿宋_GB2312" w:hAnsi="宋体" w:eastAsia="仿宋_GB2312"/>
                <w:color w:val="000000" w:themeColor="text1"/>
                <w:szCs w:val="21"/>
                <w:lang w:eastAsia="zh-CN"/>
                <w14:textFill>
                  <w14:solidFill>
                    <w14:schemeClr w14:val="tx1"/>
                  </w14:solidFill>
                </w14:textFill>
              </w:rPr>
              <w:t>、第十条</w:t>
            </w:r>
          </w:p>
        </w:tc>
        <w:tc>
          <w:tcPr>
            <w:tcW w:w="4247" w:type="dxa"/>
            <w:gridSpan w:val="2"/>
            <w:vMerge w:val="restart"/>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《房屋建筑和市政基础设施工程施工图设计文件审查管理办法》第二十六条</w:t>
            </w:r>
          </w:p>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建设单位违反本办法规定，有下列行为之一的，由县级以上地方人民政府住房城乡建设主管部门责令改正，处3万元罚款；情节严重的，予以通报：</w:t>
            </w:r>
          </w:p>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（一）压缩合理审查周期的；</w:t>
            </w:r>
          </w:p>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（二）提供不真实送审资料的；</w:t>
            </w:r>
          </w:p>
          <w:p>
            <w:pPr>
              <w:widowControl/>
              <w:spacing w:line="240" w:lineRule="auto"/>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（三）对审查机构提出不符合法律、法规和工程建设强制性标准要求的。</w:t>
            </w:r>
          </w:p>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建设单位为房地产开发企业的，还应当依照《房地产开发企业资质管理规定》进行处理。</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7"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（1）2年内2次及以上实施同类型违法行为的；（2）经责令改正后，拒绝采取措施改正的；（3）造成质量安全事故的。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责令改正，处3万元罚款，通报。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234</w:t>
            </w:r>
          </w:p>
        </w:tc>
        <w:tc>
          <w:tcPr>
            <w:tcW w:w="1488" w:type="dxa"/>
            <w:gridSpan w:val="3"/>
            <w:vMerge w:val="restart"/>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勘察、设计单位违反规定，未按照抗震设防专项审查意见进行超限高层建筑工程勘察、设计的</w:t>
            </w:r>
          </w:p>
        </w:tc>
        <w:tc>
          <w:tcPr>
            <w:tcW w:w="1062" w:type="dxa"/>
            <w:gridSpan w:val="2"/>
            <w:vMerge w:val="restart"/>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《超限高层建筑工程抗震设防管理规定》第十三条</w:t>
            </w:r>
          </w:p>
        </w:tc>
        <w:tc>
          <w:tcPr>
            <w:tcW w:w="4247"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《超限高层建筑工程抗震设防管理规定》第十八条</w:t>
            </w:r>
          </w:p>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勘察、设计单位违反本规定，未按照抗震设防专项审查意见进行超限高层建筑工程勘察、设计的，责令改正，处以1万元以上3万元以下的罚款；造成损失的，依法承担赔偿责任。</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责令改正，处1万元以上</w:t>
            </w:r>
            <w:r>
              <w:rPr>
                <w:rFonts w:ascii="仿宋_GB2312" w:hAnsi="宋体" w:eastAsia="仿宋_GB2312" w:cs="Times New Roman"/>
                <w:color w:val="000000" w:themeColor="text1"/>
                <w:kern w:val="0"/>
                <w:szCs w:val="21"/>
                <w14:textFill>
                  <w14:solidFill>
                    <w14:schemeClr w14:val="tx1"/>
                  </w14:solidFill>
                </w14:textFill>
              </w:rPr>
              <w:t>2</w:t>
            </w:r>
            <w:r>
              <w:rPr>
                <w:rFonts w:hint="eastAsia" w:ascii="仿宋_GB2312" w:hAnsi="宋体" w:eastAsia="仿宋_GB2312" w:cs="Times New Roman"/>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（1）2年内2次及以上实施同类型违法行为的；（2）经责令改正后，拒绝采取措施改正的；（3）造成质量安全事故的。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w:t>
            </w:r>
            <w:r>
              <w:rPr>
                <w:rFonts w:ascii="仿宋_GB2312" w:hAnsi="宋体" w:eastAsia="仿宋_GB2312" w:cs="Times New Roman"/>
                <w:color w:val="000000" w:themeColor="text1"/>
                <w:kern w:val="0"/>
                <w:szCs w:val="21"/>
                <w14:textFill>
                  <w14:solidFill>
                    <w14:schemeClr w14:val="tx1"/>
                  </w14:solidFill>
                </w14:textFill>
              </w:rPr>
              <w:t>2</w:t>
            </w:r>
            <w:r>
              <w:rPr>
                <w:rFonts w:hint="eastAsia" w:ascii="仿宋_GB2312" w:hAnsi="宋体" w:eastAsia="仿宋_GB2312" w:cs="Times New Roman"/>
                <w:color w:val="000000" w:themeColor="text1"/>
                <w:kern w:val="0"/>
                <w:szCs w:val="21"/>
                <w14:textFill>
                  <w14:solidFill>
                    <w14:schemeClr w14:val="tx1"/>
                  </w14:solidFill>
                </w14:textFill>
              </w:rPr>
              <w:t>万元以上</w:t>
            </w:r>
            <w:r>
              <w:rPr>
                <w:rFonts w:ascii="仿宋_GB2312" w:hAnsi="宋体" w:eastAsia="仿宋_GB2312" w:cs="Times New Roman"/>
                <w:color w:val="000000" w:themeColor="text1"/>
                <w:kern w:val="0"/>
                <w:szCs w:val="21"/>
                <w14:textFill>
                  <w14:solidFill>
                    <w14:schemeClr w14:val="tx1"/>
                  </w14:solidFill>
                </w14:textFill>
              </w:rPr>
              <w:t>3</w:t>
            </w:r>
            <w:r>
              <w:rPr>
                <w:rFonts w:hint="eastAsia" w:ascii="仿宋_GB2312" w:hAnsi="宋体" w:eastAsia="仿宋_GB2312" w:cs="Times New Roman"/>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235</w:t>
            </w:r>
          </w:p>
        </w:tc>
        <w:tc>
          <w:tcPr>
            <w:tcW w:w="1488" w:type="dxa"/>
            <w:gridSpan w:val="3"/>
            <w:vMerge w:val="restart"/>
            <w:tcBorders>
              <w:tl2br w:val="nil"/>
              <w:tr2bl w:val="nil"/>
            </w:tcBorders>
            <w:vAlign w:val="center"/>
          </w:tcPr>
          <w:p>
            <w:pPr>
              <w:spacing w:line="240" w:lineRule="auto"/>
              <w:jc w:val="left"/>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使用国有资金的建设工程的建设、设计单位违反本条例第十四条第一款规定，擅自扩大建设规模、增加建设内容、提高建设标准的</w:t>
            </w:r>
          </w:p>
        </w:tc>
        <w:tc>
          <w:tcPr>
            <w:tcW w:w="1062"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《安徽省建设工程造价管理条例》第十四条第一款</w:t>
            </w:r>
          </w:p>
        </w:tc>
        <w:tc>
          <w:tcPr>
            <w:tcW w:w="4247"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《安徽省建设工程造价管理条例》第三十条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国有资金的建设工程的建设、设计单位违反本条例第十四条第一款规定，擅自扩大建设规模、增加建设内容、提高建设标准的，由原审批部门责令改正，对设计单位处以十万元以上二十万元以下的罚款；对建设单位直接负责的主管人员和其他直接责任人员，依法给予处分。</w:t>
            </w: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《安徽省建设工程造价管理条例》第十四条</w:t>
            </w:r>
          </w:p>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使用国有资金的建设工程，投资估算、设计概算经项目审批部门批准后，建设、设计单位不得擅自扩大建设规模、增加建设内容、提高建设标准。</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增加支出的金额在原设计概算的30%以下的。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原审批单位责令更正，对设计单位处以10万元以上12万元以下的罚款，对建设单位直接负责的主管人员和其他直接责任人员，依法给予处分。</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增加支出的金额在原设计概算的30%以上50%以下间的。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原审批单位责令更正，对设计单位处以12万元以上16万元以下的罚款，对建设单位直接负责的主管人员和其他直接责任人员，依法给予处分。</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增加支出的金额在原设计概算的50%以上的。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原审批单位责令更正，对设计单位处以16万元以上20万元以下的罚款，对建设单位直接负责的主管人员和其他直接责任人员，依法给予处分。</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236</w:t>
            </w:r>
          </w:p>
        </w:tc>
        <w:tc>
          <w:tcPr>
            <w:tcW w:w="1488" w:type="dxa"/>
            <w:gridSpan w:val="3"/>
            <w:vMerge w:val="restart"/>
            <w:tcBorders>
              <w:tl2br w:val="nil"/>
              <w:tr2bl w:val="nil"/>
            </w:tcBorders>
            <w:vAlign w:val="center"/>
          </w:tcPr>
          <w:p>
            <w:pPr>
              <w:widowControl/>
              <w:spacing w:line="240" w:lineRule="auto"/>
              <w:ind w:firstLine="210" w:firstLineChars="100"/>
              <w:jc w:val="left"/>
              <w:rPr>
                <w:rFonts w:hint="eastAsia"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工程造价咨询企业不得有下列行为：</w:t>
            </w:r>
          </w:p>
          <w:p>
            <w:pPr>
              <w:widowControl/>
              <w:spacing w:line="240" w:lineRule="auto"/>
              <w:ind w:firstLine="210" w:firstLineChars="100"/>
              <w:jc w:val="left"/>
              <w:rPr>
                <w:rFonts w:hint="eastAsia"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（一）同时接受招标人和投标人，或者两个以上投标人对同一工程项目的工程造价咨询业务；</w:t>
            </w:r>
          </w:p>
          <w:p>
            <w:pPr>
              <w:widowControl/>
              <w:spacing w:line="240" w:lineRule="auto"/>
              <w:ind w:firstLine="210" w:firstLineChars="100"/>
              <w:jc w:val="left"/>
              <w:rPr>
                <w:rFonts w:hint="eastAsia"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（二）转包承接的工程造价咨询业务；</w:t>
            </w:r>
          </w:p>
          <w:p>
            <w:pPr>
              <w:widowControl/>
              <w:spacing w:line="240" w:lineRule="auto"/>
              <w:ind w:firstLine="210" w:firstLineChars="100"/>
              <w:jc w:val="left"/>
              <w:rPr>
                <w:rFonts w:hint="eastAsia"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（三）以给予回扣、低于成本收费等方式承接业务；</w:t>
            </w:r>
          </w:p>
          <w:p>
            <w:pPr>
              <w:widowControl/>
              <w:spacing w:line="240" w:lineRule="auto"/>
              <w:ind w:firstLine="210" w:firstLineChars="100"/>
              <w:jc w:val="left"/>
              <w:rPr>
                <w:rFonts w:hint="eastAsia"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（四）出具有虚假记载、误导性陈述的建设工程造价成果文件；</w:t>
            </w:r>
          </w:p>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（五）法律、法规禁止的其他行为。</w:t>
            </w:r>
          </w:p>
        </w:tc>
        <w:tc>
          <w:tcPr>
            <w:tcW w:w="1062" w:type="dxa"/>
            <w:gridSpan w:val="2"/>
            <w:vMerge w:val="restart"/>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《安徽省建设工程造价管理条例》第二十三条</w:t>
            </w:r>
          </w:p>
        </w:tc>
        <w:tc>
          <w:tcPr>
            <w:tcW w:w="4247"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《安徽省建设工程造价管理条例》第三十一条</w:t>
            </w:r>
          </w:p>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违反本条例规定，有第二十三条规定行为之一的，由县级以上人民政府建设主管部门责令改正，没收违法所得，并处以违法所得三倍以下且不低于五万元的罚款；没有违法所得的，处以三万元以上五万元以下的罚款；构成犯罪的，依法追究刑事责任。</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县级以上人民政府建设主管部门责令改正，处3万元罚款。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（1）违法所得在2万元以下的，未造成危害后果或轻微危害后果的。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县级以上人民政府建设主管部门责令改正，没收违法所得；处以违法所得1倍以下且不低于5万元的罚款。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县级以上人民政府建设主管部门责令改正，处3万元以上5万元以下的罚款。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（1）违法所得在2万元以上5万元以下的。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县级以上人民政府建设主管部门责令改正，没收违法所得；处以违法所得1倍以上2倍以下且不低于5万元的罚款。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县级以上人民政府建设主管部门责令改正，处5万元罚款。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2"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（3）违法所得在5万元以上的。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县级以上人民政府建设主管部门责令改正，没收违法所得；处以违法所得2倍以上3倍以下且不低于5万元的罚款。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533" w:type="dxa"/>
            <w:gridSpan w:val="2"/>
            <w:vMerge w:val="restart"/>
            <w:tcBorders>
              <w:tl2br w:val="nil"/>
              <w:tr2bl w:val="nil"/>
            </w:tcBorders>
            <w:vAlign w:val="center"/>
          </w:tcPr>
          <w:p>
            <w:pPr>
              <w:keepNext w:val="0"/>
              <w:keepLines w:val="0"/>
              <w:widowControl/>
              <w:suppressLineNumbers w:val="0"/>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w:t>
            </w:r>
          </w:p>
        </w:tc>
        <w:tc>
          <w:tcPr>
            <w:tcW w:w="1488" w:type="dxa"/>
            <w:gridSpan w:val="3"/>
            <w:vMerge w:val="restart"/>
            <w:tcBorders>
              <w:tl2br w:val="nil"/>
              <w:tr2bl w:val="nil"/>
            </w:tcBorders>
            <w:vAlign w:val="center"/>
          </w:tcPr>
          <w:p>
            <w:pPr>
              <w:widowControl/>
              <w:spacing w:line="240" w:lineRule="auto"/>
              <w:ind w:firstLine="210" w:firstLineChars="100"/>
              <w:jc w:val="left"/>
              <w:rPr>
                <w:rFonts w:hint="eastAsia"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工程造价专业人员不得有下列行为：</w:t>
            </w:r>
          </w:p>
          <w:p>
            <w:pPr>
              <w:widowControl/>
              <w:spacing w:line="240" w:lineRule="auto"/>
              <w:ind w:firstLine="210" w:firstLineChars="100"/>
              <w:jc w:val="left"/>
              <w:rPr>
                <w:rFonts w:hint="eastAsia"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（一）出租、出借、转让注册证书；</w:t>
            </w:r>
          </w:p>
          <w:p>
            <w:pPr>
              <w:widowControl/>
              <w:spacing w:line="240" w:lineRule="auto"/>
              <w:ind w:firstLine="210" w:firstLineChars="100"/>
              <w:jc w:val="left"/>
              <w:rPr>
                <w:rFonts w:hint="eastAsia"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（二）以个人名义承接工程造价咨询业务；</w:t>
            </w:r>
          </w:p>
          <w:p>
            <w:pPr>
              <w:widowControl/>
              <w:spacing w:line="240" w:lineRule="auto"/>
              <w:ind w:firstLine="210" w:firstLineChars="100"/>
              <w:jc w:val="left"/>
              <w:rPr>
                <w:rFonts w:hint="eastAsia"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（三）允许他人以自己名义从事工程造价咨询业务；</w:t>
            </w:r>
          </w:p>
          <w:p>
            <w:pPr>
              <w:widowControl/>
              <w:spacing w:line="240" w:lineRule="auto"/>
              <w:ind w:firstLine="210" w:firstLineChars="100"/>
              <w:jc w:val="left"/>
              <w:rPr>
                <w:rFonts w:hint="eastAsia"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（四）同时在两个或者两个以上单位执业；</w:t>
            </w:r>
          </w:p>
          <w:p>
            <w:pPr>
              <w:widowControl/>
              <w:spacing w:line="240" w:lineRule="auto"/>
              <w:ind w:firstLine="210" w:firstLineChars="100"/>
              <w:jc w:val="left"/>
              <w:rPr>
                <w:rFonts w:hint="eastAsia"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（五）签署有虚假记载、误导性陈述的建设工程造价成果文件；</w:t>
            </w:r>
          </w:p>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（六）法律、法规禁止的其他行为。</w:t>
            </w:r>
          </w:p>
        </w:tc>
        <w:tc>
          <w:tcPr>
            <w:tcW w:w="1062" w:type="dxa"/>
            <w:gridSpan w:val="2"/>
            <w:vMerge w:val="restart"/>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《安徽省建设工程造价管理条例》第二十四条</w:t>
            </w:r>
          </w:p>
        </w:tc>
        <w:tc>
          <w:tcPr>
            <w:tcW w:w="4247"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《安徽省建设工程造价管理条例》第三十二条</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专业人员违反本条例规定，有第二十四条规定行为之一的，由县级以上人民政府建设主管部门责令改正，没收违法所得，并处以违法所得三倍以下且不低于一万元的罚款；没有违法所得的，处以五千元以上一万元以下的罚款；情节严重的，报请颁发注册证书的单位注销注册证书；构成犯罪的，依法追究刑事责任。</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责令改正，处5千元的罚款。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违法所得在1万元以下的，未造成危害后果或轻微危害后果的。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责令改正，没收违法所得；处以违法所得1倍以下且不低于1万元的罚款。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没有违法所得，造成一般危害后果的。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（1）违法所得在1万元以上2万元以下的。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责令改正，没收违法所得；处以违法所得1倍以上2倍以下且不低于1万元的罚款。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8"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（3）违法所得在2万元以上的。</w:t>
            </w:r>
          </w:p>
          <w:p>
            <w:pPr>
              <w:spacing w:line="240" w:lineRule="auto"/>
              <w:ind w:firstLine="105" w:firstLineChars="50"/>
              <w:jc w:val="left"/>
              <w:rPr>
                <w:rFonts w:ascii="仿宋_GB2312" w:hAnsi="宋体" w:eastAsia="仿宋_GB2312"/>
                <w:color w:val="000000" w:themeColor="text1"/>
                <w:kern w:val="0"/>
                <w:szCs w:val="21"/>
                <w14:textFill>
                  <w14:solidFill>
                    <w14:schemeClr w14:val="tx1"/>
                  </w14:solidFill>
                </w14:textFill>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责令改正，没收违法所得，处以违法所得2倍以上3倍以下且不低于1万元的罚款。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jc w:val="center"/>
        </w:trPr>
        <w:tc>
          <w:tcPr>
            <w:tcW w:w="13810" w:type="dxa"/>
            <w:gridSpan w:val="17"/>
            <w:tcBorders>
              <w:tl2br w:val="nil"/>
              <w:tr2bl w:val="nil"/>
            </w:tcBorders>
            <w:vAlign w:val="center"/>
          </w:tcPr>
          <w:p>
            <w:pPr>
              <w:widowControl/>
              <w:spacing w:line="240" w:lineRule="auto"/>
              <w:jc w:val="center"/>
              <w:textAlignment w:val="center"/>
              <w:rPr>
                <w:rFonts w:ascii="仿宋_GB2312" w:hAnsi="宋体" w:eastAsia="仿宋_GB2312" w:cs="Times New Roman"/>
                <w:b/>
                <w:color w:val="000000" w:themeColor="text1"/>
                <w:kern w:val="0"/>
                <w:szCs w:val="21"/>
                <w14:textFill>
                  <w14:solidFill>
                    <w14:schemeClr w14:val="tx1"/>
                  </w14:solidFill>
                </w14:textFill>
              </w:rPr>
            </w:pPr>
            <w:r>
              <w:rPr>
                <w:rFonts w:hint="eastAsia" w:ascii="仿宋_GB2312" w:hAnsi="微软雅黑" w:eastAsia="仿宋_GB2312" w:cs="微软雅黑"/>
                <w:b/>
                <w:color w:val="000000" w:themeColor="text1"/>
                <w:kern w:val="0"/>
                <w:szCs w:val="21"/>
                <w14:textFill>
                  <w14:solidFill>
                    <w14:schemeClr w14:val="tx1"/>
                  </w14:solidFill>
                </w14:textFill>
              </w:rPr>
              <w:t>建设工程消防设计审查验收类（8项）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0" w:hRule="atLeast"/>
          <w:jc w:val="center"/>
        </w:trPr>
        <w:tc>
          <w:tcPr>
            <w:tcW w:w="533" w:type="dxa"/>
            <w:gridSpan w:val="2"/>
            <w:vMerge w:val="restart"/>
            <w:tcBorders>
              <w:tl2br w:val="nil"/>
              <w:tr2bl w:val="nil"/>
            </w:tcBorders>
            <w:vAlign w:val="center"/>
          </w:tcPr>
          <w:p>
            <w:pPr>
              <w:keepNext w:val="0"/>
              <w:keepLines w:val="0"/>
              <w:widowControl/>
              <w:suppressLineNumbers w:val="0"/>
              <w:jc w:val="right"/>
              <w:textAlignment w:val="center"/>
              <w:rPr>
                <w:rFonts w:hint="eastAsia" w:ascii="仿宋_GB2312" w:hAnsi="Calibri" w:eastAsia="仿宋_GB2312" w:cs="Times New Roman"/>
                <w:color w:val="000000" w:themeColor="text1"/>
                <w:szCs w:val="21"/>
                <w:lang w:eastAsia="zh-CN"/>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238</w:t>
            </w:r>
          </w:p>
        </w:tc>
        <w:tc>
          <w:tcPr>
            <w:tcW w:w="1488" w:type="dxa"/>
            <w:gridSpan w:val="3"/>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依法应当进行消防设计审查的建设工程，未经依法审查或者审查不合格，擅自施工的</w:t>
            </w:r>
          </w:p>
        </w:tc>
        <w:tc>
          <w:tcPr>
            <w:tcW w:w="1062"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《中华人民共和国消防法》第十二条</w:t>
            </w:r>
          </w:p>
        </w:tc>
        <w:tc>
          <w:tcPr>
            <w:tcW w:w="4247"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《中华人民共和国消防法》第五十八条第一款第一项</w:t>
            </w:r>
          </w:p>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违反本法规定，有下列行为之一的，由住房和城乡建设主管部门、消防救援机构按照各自职权责令停止施工、停止使用或者停产停业，并处三万元以上三十万元以下罚款：</w:t>
            </w:r>
          </w:p>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（一）依法应当进行消防设计审查的建设工程，未经依法审查或者审查不合格，擅自施工的；</w:t>
            </w:r>
          </w:p>
        </w:tc>
        <w:tc>
          <w:tcPr>
            <w:tcW w:w="1133" w:type="dxa"/>
            <w:gridSpan w:val="3"/>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主动停止违法行为、积极申报消防审查手续，并未造成危害后果。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责令停止施工，并处3万元罚款。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责令停止施工，并处3万元以上17万元以下罚款。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8"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拒不停止违法行为、拒不申报消防审查手续；或已造成火灾、难以整改的火灾隐患等严重后果。</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责令停止施工，并处17万元以上30万元以下罚款。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 w:hRule="atLeast"/>
          <w:jc w:val="center"/>
        </w:trPr>
        <w:tc>
          <w:tcPr>
            <w:tcW w:w="533" w:type="dxa"/>
            <w:gridSpan w:val="2"/>
            <w:vMerge w:val="restart"/>
            <w:tcBorders>
              <w:tl2br w:val="nil"/>
              <w:tr2bl w:val="nil"/>
            </w:tcBorders>
            <w:vAlign w:val="center"/>
          </w:tcPr>
          <w:p>
            <w:pPr>
              <w:keepNext w:val="0"/>
              <w:keepLines w:val="0"/>
              <w:widowControl/>
              <w:suppressLineNumbers w:val="0"/>
              <w:jc w:val="right"/>
              <w:textAlignment w:val="center"/>
              <w:rPr>
                <w:rFonts w:hint="eastAsia" w:ascii="仿宋_GB2312" w:hAnsi="Calibri" w:eastAsia="仿宋_GB2312" w:cs="Times New Roman"/>
                <w:color w:val="000000" w:themeColor="text1"/>
                <w:szCs w:val="21"/>
                <w:lang w:eastAsia="zh-CN"/>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239</w:t>
            </w:r>
          </w:p>
        </w:tc>
        <w:tc>
          <w:tcPr>
            <w:tcW w:w="1488" w:type="dxa"/>
            <w:gridSpan w:val="3"/>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依法应当进行消防验收的建设工程，未经消防验收或者消防验收不合格，擅自投入使用的</w:t>
            </w:r>
          </w:p>
        </w:tc>
        <w:tc>
          <w:tcPr>
            <w:tcW w:w="1062"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《中华人民共和国消防法》第十三条第一款、第三款，</w:t>
            </w:r>
            <w:r>
              <w:rPr>
                <w:rFonts w:hint="eastAsia" w:ascii="仿宋_GB2312" w:hAnsi="宋体" w:eastAsia="仿宋_GB2312" w:cs="Times New Roman"/>
                <w:color w:val="000000" w:themeColor="text1"/>
                <w:szCs w:val="21"/>
                <w14:textFill>
                  <w14:solidFill>
                    <w14:schemeClr w14:val="tx1"/>
                  </w14:solidFill>
                </w14:textFill>
              </w:rPr>
              <w:t>《城市居民住宅安全防范设施建设管理规定》第十一条</w:t>
            </w:r>
          </w:p>
        </w:tc>
        <w:tc>
          <w:tcPr>
            <w:tcW w:w="4247"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《中华人民共和国消防法》第五十八条第一款第二项</w:t>
            </w:r>
          </w:p>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违反本法规定，有下列行为之一的，由住房和城乡建设主管部门、消防救援机构按照各自职权责令停止施工、停止使用或者停产停业，并处三万元以上三十万元以下罚款：</w:t>
            </w:r>
          </w:p>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（二）依法应当进行消防验收的建设工程，未经消防验收或者消防验收不合格，擅自投入使用的；</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主动停止违法行为、积极申报消防验收手续，并未造成危害后果。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责令停止使用，并处3万元罚款。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不具有从轻、从重情形。</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责令停止使用，并处3万元以上17万元以下罚款。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拒不停止违法行为、拒不申报消防验收手续；或已造成火灾、难以整改的火灾隐患等严重后果。</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责令停止使用，并处17万元以上30万元以下罚款。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jc w:val="center"/>
        </w:trPr>
        <w:tc>
          <w:tcPr>
            <w:tcW w:w="533" w:type="dxa"/>
            <w:gridSpan w:val="2"/>
            <w:vMerge w:val="restart"/>
            <w:tcBorders>
              <w:tl2br w:val="nil"/>
              <w:tr2bl w:val="nil"/>
            </w:tcBorders>
            <w:vAlign w:val="center"/>
          </w:tcPr>
          <w:p>
            <w:pPr>
              <w:keepNext w:val="0"/>
              <w:keepLines w:val="0"/>
              <w:widowControl/>
              <w:suppressLineNumbers w:val="0"/>
              <w:jc w:val="right"/>
              <w:textAlignment w:val="center"/>
              <w:rPr>
                <w:rFonts w:hint="eastAsia" w:ascii="仿宋_GB2312" w:hAnsi="Calibri" w:eastAsia="仿宋_GB2312" w:cs="Times New Roman"/>
                <w:color w:val="000000" w:themeColor="text1"/>
                <w:szCs w:val="21"/>
                <w:lang w:eastAsia="zh-CN"/>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240</w:t>
            </w:r>
          </w:p>
        </w:tc>
        <w:tc>
          <w:tcPr>
            <w:tcW w:w="1488"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国务院住房和城乡建设主管部门规定应当申请消防验收的建设工程以外的其他建设工程验收后经依法抽查不合格，不停止使用的</w:t>
            </w:r>
          </w:p>
        </w:tc>
        <w:tc>
          <w:tcPr>
            <w:tcW w:w="1062"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《中华人民共和国消防法》第十三条第三款</w:t>
            </w:r>
          </w:p>
        </w:tc>
        <w:tc>
          <w:tcPr>
            <w:tcW w:w="4247"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《中华人民共和国消防法》第五十八条第一款第三项</w:t>
            </w:r>
          </w:p>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违反本法规定，有下列行为之一的，由住房和城乡建设主管部门、消防救援机构按照各自职权责令停止施工、停止使用或者停产停业，并处三万元以上三十万元以下罚款：</w:t>
            </w:r>
          </w:p>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（三）本法第十三条规定的其他建设工程验收后经依法抽查不合格，不停止使用的；</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主动停止违法行为、积极进行整改，并未造成危害后果。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责令停止使用，并处3万元罚款。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不具有从轻、从重情形。</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责令停止使用，并处3万元以上17万元以下罚款。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8"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拒不停止违法行为、拒不整改；或已造成火灾、难以整改的火灾隐患等严重后果。</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责令停止使用，并处17万元以上30万元以下罚款。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533" w:type="dxa"/>
            <w:gridSpan w:val="2"/>
            <w:vMerge w:val="restart"/>
            <w:tcBorders>
              <w:tl2br w:val="nil"/>
              <w:tr2bl w:val="nil"/>
            </w:tcBorders>
            <w:vAlign w:val="center"/>
          </w:tcPr>
          <w:p>
            <w:pPr>
              <w:keepNext w:val="0"/>
              <w:keepLines w:val="0"/>
              <w:widowControl/>
              <w:suppressLineNumbers w:val="0"/>
              <w:jc w:val="right"/>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241</w:t>
            </w:r>
          </w:p>
        </w:tc>
        <w:tc>
          <w:tcPr>
            <w:tcW w:w="1488"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国务院住房和城乡建设主管部门规定应当申请消防验收的建设工程以外的其他建设工程</w:t>
            </w:r>
            <w:r>
              <w:rPr>
                <w:rFonts w:hint="eastAsia" w:ascii="仿宋_GB2312" w:hAnsi="宋体" w:eastAsia="仿宋_GB2312" w:cs="Times New Roman"/>
                <w:color w:val="000000" w:themeColor="text1"/>
                <w:kern w:val="0"/>
                <w:szCs w:val="21"/>
                <w14:textFill>
                  <w14:solidFill>
                    <w14:schemeClr w14:val="tx1"/>
                  </w14:solidFill>
                </w14:textFill>
              </w:rPr>
              <w:t>建设单位未在验收后报住房和城乡建设主管部门备案的</w:t>
            </w:r>
          </w:p>
        </w:tc>
        <w:tc>
          <w:tcPr>
            <w:tcW w:w="1062"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《中华人民共和国消防法》第十三条第二款</w:t>
            </w:r>
          </w:p>
        </w:tc>
        <w:tc>
          <w:tcPr>
            <w:tcW w:w="4247"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《中华人民共和国消防法》第五十八条第二款</w:t>
            </w:r>
          </w:p>
          <w:p>
            <w:pPr>
              <w:widowControl/>
              <w:spacing w:line="240" w:lineRule="auto"/>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建设单位未依照本法规定在验收后报住房和城乡建设主管部门备案的，由住房和城乡建设主管部门责令改正，处五千元以下罚款。</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主动停止违法行为、积极申报消防验收备案手续，并未造成危害后果。</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责令改正，处1千</w:t>
            </w:r>
            <w:r>
              <w:rPr>
                <w:rFonts w:hint="eastAsia" w:ascii="仿宋_GB2312" w:hAnsi="宋体" w:eastAsia="仿宋_GB2312" w:cs="Times New Roman"/>
                <w:color w:val="000000" w:themeColor="text1"/>
                <w:szCs w:val="21"/>
                <w14:textFill>
                  <w14:solidFill>
                    <w14:schemeClr w14:val="tx1"/>
                  </w14:solidFill>
                </w14:textFill>
              </w:rPr>
              <w:t>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不具有从轻、从重情形。</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Calibri"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w:t>
            </w:r>
            <w:r>
              <w:rPr>
                <w:rFonts w:ascii="仿宋_GB2312" w:hAnsi="宋体" w:eastAsia="仿宋_GB2312" w:cs="Times New Roman"/>
                <w:color w:val="000000" w:themeColor="text1"/>
                <w:kern w:val="0"/>
                <w:szCs w:val="21"/>
                <w14:textFill>
                  <w14:solidFill>
                    <w14:schemeClr w14:val="tx1"/>
                  </w14:solidFill>
                </w14:textFill>
              </w:rPr>
              <w:t>改正</w:t>
            </w:r>
            <w:r>
              <w:rPr>
                <w:rFonts w:hint="eastAsia" w:ascii="仿宋_GB2312" w:hAnsi="宋体" w:eastAsia="仿宋_GB2312" w:cs="Times New Roman"/>
                <w:color w:val="000000" w:themeColor="text1"/>
                <w:kern w:val="0"/>
                <w:szCs w:val="21"/>
                <w14:textFill>
                  <w14:solidFill>
                    <w14:schemeClr w14:val="tx1"/>
                  </w14:solidFill>
                </w14:textFill>
              </w:rPr>
              <w:t>，处1</w:t>
            </w:r>
            <w:r>
              <w:rPr>
                <w:rFonts w:ascii="仿宋_GB2312" w:hAnsi="宋体" w:eastAsia="仿宋_GB2312" w:cs="Times New Roman"/>
                <w:color w:val="000000" w:themeColor="text1"/>
                <w:kern w:val="0"/>
                <w:szCs w:val="21"/>
                <w14:textFill>
                  <w14:solidFill>
                    <w14:schemeClr w14:val="tx1"/>
                  </w14:solidFill>
                </w14:textFill>
              </w:rPr>
              <w:t>千元以上</w:t>
            </w:r>
            <w:r>
              <w:rPr>
                <w:rFonts w:hint="eastAsia" w:ascii="仿宋_GB2312" w:hAnsi="宋体" w:eastAsia="仿宋_GB2312" w:cs="Times New Roman"/>
                <w:color w:val="000000" w:themeColor="text1"/>
                <w:kern w:val="0"/>
                <w:szCs w:val="21"/>
                <w14:textFill>
                  <w14:solidFill>
                    <w14:schemeClr w14:val="tx1"/>
                  </w14:solidFill>
                </w14:textFill>
              </w:rPr>
              <w:t>5</w:t>
            </w:r>
            <w:r>
              <w:rPr>
                <w:rFonts w:ascii="仿宋_GB2312" w:hAnsi="宋体" w:eastAsia="仿宋_GB2312" w:cs="Times New Roman"/>
                <w:color w:val="000000" w:themeColor="text1"/>
                <w:kern w:val="0"/>
                <w:szCs w:val="21"/>
                <w14:textFill>
                  <w14:solidFill>
                    <w14:schemeClr w14:val="tx1"/>
                  </w14:solidFill>
                </w14:textFill>
              </w:rPr>
              <w:t>千元以下罚款</w:t>
            </w:r>
            <w:r>
              <w:rPr>
                <w:rFonts w:hint="eastAsia" w:ascii="仿宋_GB2312" w:hAnsi="宋体" w:eastAsia="仿宋_GB2312"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7"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拒不停止违法行为、拒不申报消防验收备案手续；或已造成火灾、难以整改的火灾隐患等严重后果。</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33" w:type="dxa"/>
            <w:gridSpan w:val="2"/>
            <w:vMerge w:val="restart"/>
            <w:tcBorders>
              <w:tl2br w:val="nil"/>
              <w:tr2bl w:val="nil"/>
            </w:tcBorders>
            <w:vAlign w:val="center"/>
          </w:tcPr>
          <w:p>
            <w:pPr>
              <w:keepNext w:val="0"/>
              <w:keepLines w:val="0"/>
              <w:widowControl/>
              <w:suppressLineNumbers w:val="0"/>
              <w:jc w:val="right"/>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242</w:t>
            </w:r>
          </w:p>
        </w:tc>
        <w:tc>
          <w:tcPr>
            <w:tcW w:w="1488"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建设单位要求建筑设计单位或者建筑施工企业降低消防技术标准设计、施工的</w:t>
            </w:r>
          </w:p>
        </w:tc>
        <w:tc>
          <w:tcPr>
            <w:tcW w:w="1062"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《中华人民共和国消防法》第九条</w:t>
            </w:r>
          </w:p>
        </w:tc>
        <w:tc>
          <w:tcPr>
            <w:tcW w:w="4247" w:type="dxa"/>
            <w:gridSpan w:val="2"/>
            <w:vMerge w:val="restart"/>
            <w:tcBorders>
              <w:tl2br w:val="nil"/>
              <w:tr2bl w:val="nil"/>
            </w:tcBorders>
            <w:vAlign w:val="center"/>
          </w:tcPr>
          <w:p>
            <w:pPr>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《中华人民共和国消防法》第五十九条第一项</w:t>
            </w:r>
          </w:p>
          <w:p>
            <w:pPr>
              <w:spacing w:line="240" w:lineRule="auto"/>
              <w:ind w:firstLine="210" w:firstLineChars="100"/>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违反本法规定，有下列行为之一的，由住房和城乡建设主管部门责令改正或者停止施工，并处一万元以上十万元以下罚款：</w:t>
            </w:r>
          </w:p>
          <w:p>
            <w:pPr>
              <w:spacing w:line="240" w:lineRule="auto"/>
              <w:ind w:firstLine="210" w:firstLineChars="100"/>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（一）建设单位要求建筑设计单位或者建筑施工企业降低消防技术标准设计、施工的；</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主动停止违法行为、积极改正存在问题，且未造成危害后果。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责令改正或者停止施工，并处1万元罚款。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1"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不具有从轻、从重情形。</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责令改正或者停止施工，并处1万元以上6万元以下罚款。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2"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拒不停止违法行为、拒不整改存在问题；或已造成火灾、难以整改的火灾隐患等严重后果。</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ascii="仿宋_GB2312" w:hAnsi="Calibri" w:eastAsia="仿宋_GB2312" w:cs="Times New Roman"/>
                <w:color w:val="000000" w:themeColor="text1"/>
                <w:szCs w:val="21"/>
                <w14:textFill>
                  <w14:solidFill>
                    <w14:schemeClr w14:val="tx1"/>
                  </w14:solidFill>
                </w14:textFill>
              </w:rPr>
              <w:t>责令改正或者停止施工</w:t>
            </w:r>
            <w:r>
              <w:rPr>
                <w:rFonts w:hint="eastAsia" w:ascii="仿宋_GB2312" w:hAnsi="Calibri" w:eastAsia="仿宋_GB2312" w:cs="Times New Roman"/>
                <w:color w:val="000000" w:themeColor="text1"/>
                <w:szCs w:val="21"/>
                <w14:textFill>
                  <w14:solidFill>
                    <w14:schemeClr w14:val="tx1"/>
                  </w14:solidFill>
                </w14:textFill>
              </w:rPr>
              <w:t>，并处6万元以上10万元以下罚款。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0" w:hRule="atLeast"/>
          <w:jc w:val="center"/>
        </w:trPr>
        <w:tc>
          <w:tcPr>
            <w:tcW w:w="533" w:type="dxa"/>
            <w:gridSpan w:val="2"/>
            <w:vMerge w:val="restart"/>
            <w:tcBorders>
              <w:tl2br w:val="nil"/>
              <w:tr2bl w:val="nil"/>
            </w:tcBorders>
            <w:vAlign w:val="center"/>
          </w:tcPr>
          <w:p>
            <w:pPr>
              <w:keepNext w:val="0"/>
              <w:keepLines w:val="0"/>
              <w:widowControl/>
              <w:suppressLineNumbers w:val="0"/>
              <w:jc w:val="right"/>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243</w:t>
            </w:r>
          </w:p>
        </w:tc>
        <w:tc>
          <w:tcPr>
            <w:tcW w:w="1488" w:type="dxa"/>
            <w:gridSpan w:val="3"/>
            <w:vMerge w:val="restart"/>
            <w:tcBorders>
              <w:tl2br w:val="nil"/>
              <w:tr2bl w:val="nil"/>
            </w:tcBorders>
            <w:vAlign w:val="center"/>
          </w:tcPr>
          <w:p>
            <w:pPr>
              <w:widowControl/>
              <w:spacing w:line="240" w:lineRule="auto"/>
              <w:ind w:firstLine="210" w:firstLineChars="100"/>
              <w:jc w:val="left"/>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建筑设计单位不按照消防技术标准强制性要求进行消防设计的</w:t>
            </w:r>
          </w:p>
        </w:tc>
        <w:tc>
          <w:tcPr>
            <w:tcW w:w="1062" w:type="dxa"/>
            <w:gridSpan w:val="2"/>
            <w:vMerge w:val="restart"/>
            <w:tcBorders>
              <w:tl2br w:val="nil"/>
              <w:tr2bl w:val="nil"/>
            </w:tcBorders>
            <w:vAlign w:val="center"/>
          </w:tcPr>
          <w:p>
            <w:pPr>
              <w:widowControl/>
              <w:spacing w:line="240" w:lineRule="auto"/>
              <w:jc w:val="left"/>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《中华人民共和国消防法》第九条</w:t>
            </w:r>
          </w:p>
        </w:tc>
        <w:tc>
          <w:tcPr>
            <w:tcW w:w="4247" w:type="dxa"/>
            <w:gridSpan w:val="2"/>
            <w:vMerge w:val="restart"/>
            <w:tcBorders>
              <w:tl2br w:val="nil"/>
              <w:tr2bl w:val="nil"/>
            </w:tcBorders>
            <w:vAlign w:val="center"/>
          </w:tcPr>
          <w:p>
            <w:pPr>
              <w:widowControl/>
              <w:spacing w:line="240" w:lineRule="auto"/>
              <w:jc w:val="left"/>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《中华人民共和国消防法》第五十九条第二项</w:t>
            </w:r>
          </w:p>
          <w:p>
            <w:pPr>
              <w:widowControl/>
              <w:spacing w:line="240" w:lineRule="auto"/>
              <w:ind w:firstLine="210" w:firstLineChars="100"/>
              <w:jc w:val="left"/>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违反本法规定，有下列行为之一的，由住房和城乡建设主管部门责令改正或者停止施工，并处一万元以上十万元以下罚款：</w:t>
            </w:r>
          </w:p>
          <w:p>
            <w:pPr>
              <w:widowControl/>
              <w:spacing w:line="240" w:lineRule="auto"/>
              <w:ind w:firstLine="210" w:firstLineChars="100"/>
              <w:jc w:val="left"/>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（二）建筑设计单位不按照消防技术标准强制性要求进行消防设计的；</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主动停止违法行为、积极改正存在问题，且未造成危害后果。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微软雅黑" w:hAnsi="微软雅黑" w:eastAsia="微软雅黑" w:cs="微软雅黑"/>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textAlignment w:val="center"/>
              <w:rPr>
                <w:rFonts w:ascii="微软雅黑" w:hAnsi="微软雅黑" w:eastAsia="微软雅黑" w:cs="微软雅黑"/>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spacing w:line="240" w:lineRule="auto"/>
              <w:ind w:firstLine="210" w:firstLineChars="100"/>
              <w:jc w:val="left"/>
              <w:textAlignment w:val="center"/>
              <w:rPr>
                <w:rFonts w:ascii="微软雅黑" w:hAnsi="微软雅黑" w:eastAsia="微软雅黑" w:cs="微软雅黑"/>
                <w:color w:val="000000" w:themeColor="text1"/>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责令改正，并处1万元以上6万元以下罚款。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jc w:val="left"/>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拒不停止违法行为、拒不整改存在问题；或已造成火灾、难以整改的火灾隐患等严重后果。</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atLeast"/>
          <w:jc w:val="center"/>
        </w:trPr>
        <w:tc>
          <w:tcPr>
            <w:tcW w:w="533" w:type="dxa"/>
            <w:gridSpan w:val="2"/>
            <w:vMerge w:val="restart"/>
            <w:tcBorders>
              <w:tl2br w:val="nil"/>
              <w:tr2bl w:val="nil"/>
            </w:tcBorders>
            <w:vAlign w:val="center"/>
          </w:tcPr>
          <w:p>
            <w:pPr>
              <w:keepNext w:val="0"/>
              <w:keepLines w:val="0"/>
              <w:widowControl/>
              <w:suppressLineNumbers w:val="0"/>
              <w:jc w:val="right"/>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244</w:t>
            </w:r>
          </w:p>
        </w:tc>
        <w:tc>
          <w:tcPr>
            <w:tcW w:w="1488"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建筑施工企业不按照消防设计文件和消防技术标准施工，降低消防施工质量的</w:t>
            </w:r>
          </w:p>
        </w:tc>
        <w:tc>
          <w:tcPr>
            <w:tcW w:w="1062"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《中华人民共和国消防法》第九条</w:t>
            </w:r>
          </w:p>
        </w:tc>
        <w:tc>
          <w:tcPr>
            <w:tcW w:w="4247" w:type="dxa"/>
            <w:gridSpan w:val="2"/>
            <w:vMerge w:val="restart"/>
            <w:tcBorders>
              <w:tl2br w:val="nil"/>
              <w:tr2bl w:val="nil"/>
            </w:tcBorders>
            <w:vAlign w:val="center"/>
          </w:tcPr>
          <w:p>
            <w:pPr>
              <w:widowControl/>
              <w:spacing w:line="240" w:lineRule="auto"/>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《中华人民共和国消防法》第五十九条第三项</w:t>
            </w:r>
          </w:p>
          <w:p>
            <w:pPr>
              <w:widowControl/>
              <w:spacing w:line="240" w:lineRule="auto"/>
              <w:ind w:firstLine="210" w:firstLineChars="100"/>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违反本法规定，有下列行为之一的，由住房和城乡建设主管部门责令改正或者停止施工，并处一万元以上十万元以下罚款：</w:t>
            </w:r>
          </w:p>
          <w:p>
            <w:pPr>
              <w:widowControl/>
              <w:spacing w:line="240" w:lineRule="auto"/>
              <w:ind w:firstLine="210" w:firstLineChars="100"/>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（三）建筑施工企业不按照消防设计文件和消防技术标准施工，降低消防施工质量的；</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主动停止违法行为、积极改正存在问题，且未造成危害后果。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责令改正或者停止施工，并处1万元罚款。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责令改正或者停止施工，并处1万元以上6万元以下罚款。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拒不停止违法行为、拒不整改存在问题；或已造成火灾、难以整改的火灾隐患等严重后果。</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责令改正或者停止施工，并处6万元以上10万元以下罚款。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3" w:type="dxa"/>
            <w:gridSpan w:val="2"/>
            <w:vMerge w:val="restart"/>
            <w:tcBorders>
              <w:tl2br w:val="nil"/>
              <w:tr2bl w:val="nil"/>
            </w:tcBorders>
            <w:vAlign w:val="center"/>
          </w:tcPr>
          <w:p>
            <w:pPr>
              <w:keepNext w:val="0"/>
              <w:keepLines w:val="0"/>
              <w:widowControl/>
              <w:suppressLineNumbers w:val="0"/>
              <w:jc w:val="right"/>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245</w:t>
            </w:r>
          </w:p>
        </w:tc>
        <w:tc>
          <w:tcPr>
            <w:tcW w:w="1488"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工程监理单位与建设单位或者建筑施工企业串通，弄虚作假，降低消防施工质量的</w:t>
            </w:r>
          </w:p>
        </w:tc>
        <w:tc>
          <w:tcPr>
            <w:tcW w:w="1062"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《中华人民共和国消防法》第九条</w:t>
            </w:r>
          </w:p>
        </w:tc>
        <w:tc>
          <w:tcPr>
            <w:tcW w:w="4247" w:type="dxa"/>
            <w:gridSpan w:val="2"/>
            <w:vMerge w:val="restart"/>
            <w:tcBorders>
              <w:tl2br w:val="nil"/>
              <w:tr2bl w:val="nil"/>
            </w:tcBorders>
            <w:vAlign w:val="center"/>
          </w:tcPr>
          <w:p>
            <w:pPr>
              <w:widowControl/>
              <w:spacing w:line="240" w:lineRule="auto"/>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《中华人民共和国消防法》第五十九条第四项</w:t>
            </w:r>
          </w:p>
          <w:p>
            <w:pPr>
              <w:widowControl/>
              <w:spacing w:line="240" w:lineRule="auto"/>
              <w:ind w:firstLine="210" w:firstLineChars="100"/>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违反本法规定，有下列行为之一的，由住房和城乡建设主管部门责令改正或者停止施工，并处一万元以上十万元以下罚款：</w:t>
            </w:r>
          </w:p>
          <w:p>
            <w:pPr>
              <w:widowControl/>
              <w:spacing w:line="240" w:lineRule="auto"/>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（四）工程监理单位与建设单位或者建筑施工企业串通，弄虚作假，降低消防施工质量的。</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主动停止违法行为、积极改正存在问题，且未造成危害后果。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责令改正，并处1万元以上6万元以下罚款。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9"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62"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拒不停止违法行为、拒不整改存在问题；或已造成火灾、难以整改的火灾隐患等严重后果。</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3810" w:type="dxa"/>
            <w:gridSpan w:val="17"/>
            <w:tcBorders>
              <w:tl2br w:val="nil"/>
              <w:tr2bl w:val="nil"/>
            </w:tcBorders>
            <w:vAlign w:val="center"/>
          </w:tcPr>
          <w:p>
            <w:pPr>
              <w:spacing w:line="240" w:lineRule="auto"/>
              <w:ind w:firstLine="6238" w:firstLineChars="2959"/>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房地产类（104项）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246</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未取得房地产开发企业资质证书，擅自销售商品房的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《商品房销售管理办法》（建设部令第88号）第七条</w:t>
            </w: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《商品房销售管理办法》（建设部令第88号）第七条第一款第一项</w:t>
            </w:r>
            <w:r>
              <w:rPr>
                <w:rFonts w:ascii="仿宋_GB2312" w:hAnsi="宋体" w:eastAsia="仿宋_GB2312" w:cs="Times New Roman"/>
                <w:color w:val="000000" w:themeColor="text1"/>
                <w:kern w:val="0"/>
                <w:szCs w:val="21"/>
                <w14:textFill>
                  <w14:solidFill>
                    <w14:schemeClr w14:val="tx1"/>
                  </w14:solidFill>
                </w14:textFill>
              </w:rPr>
              <w:t>商品房现售,应当符合以下条件：</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(一)现售商品房的房地产开发企业应当具有企业法人营业执照和房地产开发企业资质证书</w:t>
            </w:r>
            <w:r>
              <w:rPr>
                <w:rFonts w:hint="eastAsia" w:ascii="仿宋_GB2312" w:hAnsi="宋体" w:eastAsia="仿宋_GB2312" w:cs="Times New Roman"/>
                <w:color w:val="000000" w:themeColor="text1"/>
                <w:kern w:val="0"/>
                <w:szCs w:val="21"/>
                <w14:textFill>
                  <w14:solidFill>
                    <w14:schemeClr w14:val="tx1"/>
                  </w14:solidFill>
                </w14:textFill>
              </w:rPr>
              <w:t>。</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第三十七条未取得房地产开发企业资质证书，擅自销售商品房的，责令停止销售活动，处5万元以上10万元以下的罚款。</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初次违法，擅自销售商品房3套以下。</w:t>
            </w:r>
          </w:p>
        </w:tc>
        <w:tc>
          <w:tcPr>
            <w:tcW w:w="3232" w:type="dxa"/>
            <w:tcBorders>
              <w:tl2br w:val="nil"/>
              <w:tr2bl w:val="nil"/>
            </w:tcBorders>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责令停止销售活动，处5万元罚款。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 w:hRule="atLeast"/>
          <w:jc w:val="center"/>
        </w:trPr>
        <w:tc>
          <w:tcPr>
            <w:tcW w:w="58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55" w:type="dxa"/>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销售商品房3套以上5套以下。</w:t>
            </w:r>
          </w:p>
        </w:tc>
        <w:tc>
          <w:tcPr>
            <w:tcW w:w="3232" w:type="dxa"/>
            <w:tcBorders>
              <w:tl2br w:val="nil"/>
              <w:tr2bl w:val="nil"/>
            </w:tcBorders>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责令停止销售活动，处5万元以上7.5万元以下罚款。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continue"/>
            <w:tcBorders>
              <w:tl2br w:val="nil"/>
              <w:tr2bl w:val="nil"/>
            </w:tcBorders>
            <w:vAlign w:val="center"/>
          </w:tcPr>
          <w:p>
            <w:pPr>
              <w:spacing w:line="240" w:lineRule="auto"/>
              <w:ind w:firstLine="6238" w:firstLineChars="2959"/>
              <w:jc w:val="center"/>
              <w:textAlignment w:val="center"/>
              <w:rPr>
                <w:rFonts w:ascii="仿宋_GB2312" w:hAnsi="宋体" w:eastAsia="仿宋_GB2312"/>
                <w:b/>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spacing w:line="240" w:lineRule="auto"/>
              <w:ind w:firstLine="6238" w:firstLineChars="2959"/>
              <w:textAlignment w:val="center"/>
              <w:rPr>
                <w:rFonts w:ascii="仿宋_GB2312" w:hAnsi="宋体" w:eastAsia="仿宋_GB2312"/>
                <w:b/>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spacing w:line="240" w:lineRule="auto"/>
              <w:ind w:firstLine="6238" w:firstLineChars="2959"/>
              <w:textAlignment w:val="center"/>
              <w:rPr>
                <w:rFonts w:ascii="仿宋_GB2312" w:hAnsi="宋体" w:eastAsia="仿宋_GB2312"/>
                <w:b/>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spacing w:line="240" w:lineRule="auto"/>
              <w:ind w:firstLine="6238" w:firstLineChars="2959"/>
              <w:textAlignment w:val="center"/>
              <w:rPr>
                <w:rFonts w:ascii="仿宋_GB2312" w:hAnsi="宋体" w:eastAsia="仿宋_GB2312"/>
                <w:b/>
                <w:color w:val="000000" w:themeColor="text1"/>
                <w:kern w:val="0"/>
                <w:szCs w:val="21"/>
                <w14:textFill>
                  <w14:solidFill>
                    <w14:schemeClr w14:val="tx1"/>
                  </w14:solidFill>
                </w14:textFill>
              </w:rPr>
            </w:pPr>
          </w:p>
        </w:tc>
        <w:tc>
          <w:tcPr>
            <w:tcW w:w="1055" w:type="dxa"/>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vAlign w:val="center"/>
          </w:tcPr>
          <w:p>
            <w:pPr>
              <w:spacing w:line="240" w:lineRule="auto"/>
              <w:ind w:firstLine="6213" w:firstLineChars="2959"/>
              <w:textAlignment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（（1）经责令停止违法行为后，继续实施违法行为的；（2）擅自销售商品房5套以上；（3）足以影响房地产市场秩序和社会稳定的。</w:t>
            </w:r>
          </w:p>
        </w:tc>
        <w:tc>
          <w:tcPr>
            <w:tcW w:w="3232" w:type="dxa"/>
            <w:tcBorders>
              <w:tl2br w:val="nil"/>
              <w:tr2bl w:val="nil"/>
            </w:tcBorders>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责令停止销售活动，处7.5万元以上10万元以下罚款。</w:t>
            </w:r>
          </w:p>
          <w:p>
            <w:pPr>
              <w:spacing w:line="240" w:lineRule="auto"/>
              <w:ind w:firstLine="6238" w:firstLineChars="2959"/>
              <w:textAlignment w:val="center"/>
              <w:rPr>
                <w:rFonts w:ascii="仿宋_GB2312" w:hAnsi="宋体" w:eastAsia="仿宋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247</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在未解除商品房买卖合同前，将作为合同标的物的商品房再行销售给他人的</w:t>
            </w:r>
          </w:p>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《商品房销售管理办法》（建设部令第88号）第十条</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三十九条在未解除商品房买卖合同前，将作为合同标的物的商品房再行销售给他人的，处以警告，责令限期改正，并处2万元以上3万元以下罚款；构成犯罪的，依法追究刑事责任。</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第十条房地产开发企业不得在未解除商品房买卖合同前，将作为合同标的物的商品房再行销售给他人。</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警告，责令限期改正，并处2万元以上2.5万元以下罚款。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continue"/>
            <w:tcBorders>
              <w:tl2br w:val="nil"/>
              <w:tr2bl w:val="nil"/>
            </w:tcBorders>
            <w:vAlign w:val="center"/>
          </w:tcPr>
          <w:p>
            <w:pPr>
              <w:spacing w:line="240" w:lineRule="auto"/>
              <w:ind w:firstLine="6238" w:firstLineChars="2959"/>
              <w:jc w:val="center"/>
              <w:textAlignment w:val="center"/>
              <w:rPr>
                <w:rFonts w:ascii="仿宋_GB2312" w:hAnsi="宋体" w:eastAsia="仿宋_GB2312"/>
                <w:b/>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spacing w:line="240" w:lineRule="auto"/>
              <w:ind w:firstLine="6238" w:firstLineChars="2959"/>
              <w:textAlignment w:val="center"/>
              <w:rPr>
                <w:rFonts w:ascii="仿宋_GB2312" w:hAnsi="宋体" w:eastAsia="仿宋_GB2312"/>
                <w:b/>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spacing w:line="240" w:lineRule="auto"/>
              <w:ind w:firstLine="6238" w:firstLineChars="2959"/>
              <w:textAlignment w:val="center"/>
              <w:rPr>
                <w:rFonts w:ascii="仿宋_GB2312" w:hAnsi="宋体" w:eastAsia="仿宋_GB2312"/>
                <w:b/>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spacing w:line="240" w:lineRule="auto"/>
              <w:ind w:firstLine="6238" w:firstLineChars="2959"/>
              <w:textAlignment w:val="center"/>
              <w:rPr>
                <w:rFonts w:ascii="仿宋_GB2312" w:hAnsi="宋体" w:eastAsia="仿宋_GB2312"/>
                <w:b/>
                <w:color w:val="000000" w:themeColor="text1"/>
                <w:kern w:val="0"/>
                <w:szCs w:val="21"/>
                <w14:textFill>
                  <w14:solidFill>
                    <w14:schemeClr w14:val="tx1"/>
                  </w14:solidFill>
                </w14:textFill>
              </w:rPr>
            </w:pPr>
          </w:p>
        </w:tc>
        <w:tc>
          <w:tcPr>
            <w:tcW w:w="1055" w:type="dxa"/>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警告，责令限期改正，并处2.5万元以上3万元以下罚款。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248</w:t>
            </w:r>
          </w:p>
        </w:tc>
        <w:tc>
          <w:tcPr>
            <w:tcW w:w="1440"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房地产中介服务机构代理销售不符合销售条件的商品房的</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《商品房销售管理办法》（建设部令第88号）第二十七条第二款</w:t>
            </w: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restart"/>
            <w:tcBorders>
              <w:tl2br w:val="nil"/>
              <w:tr2bl w:val="nil"/>
            </w:tcBorders>
            <w:vAlign w:val="center"/>
          </w:tcPr>
          <w:p>
            <w:pPr>
              <w:widowControl/>
              <w:spacing w:line="0" w:lineRule="atLeas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w:t>
            </w:r>
            <w:r>
              <w:rPr>
                <w:rFonts w:hint="eastAsia" w:ascii="仿宋_GB2312" w:hAnsi="宋体" w:eastAsia="仿宋_GB2312" w:cs="Times New Roman"/>
                <w:color w:val="000000" w:themeColor="text1"/>
                <w:kern w:val="0"/>
                <w:szCs w:val="21"/>
                <w14:textFill>
                  <w14:solidFill>
                    <w14:schemeClr w14:val="tx1"/>
                  </w14:solidFill>
                </w14:textFill>
              </w:rPr>
              <w:t>第二十七条第二款</w:t>
            </w:r>
            <w:r>
              <w:rPr>
                <w:rFonts w:ascii="仿宋_GB2312" w:hAnsi="宋体" w:eastAsia="仿宋_GB2312" w:cs="Times New Roman"/>
                <w:color w:val="000000" w:themeColor="text1"/>
                <w:kern w:val="0"/>
                <w:szCs w:val="21"/>
                <w14:textFill>
                  <w14:solidFill>
                    <w14:schemeClr w14:val="tx1"/>
                  </w14:solidFill>
                </w14:textFill>
              </w:rPr>
              <w:t>受托房地产中介服务机构不得代理销售不符合销售条件的商品房。</w:t>
            </w:r>
          </w:p>
          <w:p>
            <w:pPr>
              <w:widowControl/>
              <w:spacing w:line="0" w:lineRule="atLeas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第四十三条房地产中介服务机构代理销售不符合销售条件的商品房的,处以警告，责令停止销售，并可处以2万元以上3万元以下罚款。</w:t>
            </w: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代理销售不符合销售条件的商品房的，销售数量在3套以下的。</w:t>
            </w:r>
          </w:p>
        </w:tc>
        <w:tc>
          <w:tcPr>
            <w:tcW w:w="3232" w:type="dxa"/>
            <w:tcBorders>
              <w:tl2br w:val="nil"/>
              <w:tr2bl w:val="nil"/>
            </w:tcBorders>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警告，责令停止销售，并可处2万元罚款。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代理销售不符合销售条件的商品房的，销售数量在3套以上5套以下的。</w:t>
            </w:r>
          </w:p>
        </w:tc>
        <w:tc>
          <w:tcPr>
            <w:tcW w:w="3232" w:type="dxa"/>
            <w:tcBorders>
              <w:tl2br w:val="nil"/>
              <w:tr2bl w:val="nil"/>
            </w:tcBorders>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警告，责令停止销售，并可处2万元以上2.5万元以下罚款。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（1）经责令停止违法行为后，继续实施违法行为的；（2）销售数量在5套以上；（3）足以影响房地产市场秩序和社会稳定的。</w:t>
            </w:r>
          </w:p>
        </w:tc>
        <w:tc>
          <w:tcPr>
            <w:tcW w:w="3232" w:type="dxa"/>
            <w:tcBorders>
              <w:tl2br w:val="nil"/>
              <w:tr2bl w:val="nil"/>
            </w:tcBorders>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警告，责令停止销售，并可处2.5万元以上3万元以下罚款。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249</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房产开发企业未按规定将测绘成果或者需要其提供的办理房屋权属登记的资料送房产行政主管部门的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《商品房销售管理办法》（建设部令第88号）第三十四条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0" w:lineRule="atLeas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四十一条房地产开发企业未按规定将测绘成果或者需要由其提供的办理房屋权属登记的资料报送房地产行政主管部门的，处以警告，责令限期改正，并可处以2万元以上3万元以下罚款。</w:t>
            </w:r>
          </w:p>
          <w:p>
            <w:pPr>
              <w:widowControl/>
              <w:spacing w:line="0" w:lineRule="atLeas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第三十四条房地产开发企业应当在商品房交付使用前按项目委托具有房产测绘资格的单位实施测绘，测绘成果报房地产行政主管部门审核后用于房屋权属登记。</w:t>
            </w:r>
          </w:p>
          <w:p>
            <w:pPr>
              <w:widowControl/>
              <w:spacing w:line="0" w:lineRule="atLeas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房地产开发企业应当在商品房交付使用之日起60日内，将需要由其提供的办理房屋权属登记的资料报送房屋所在地房地产行政主管部门。</w:t>
            </w: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警告，责令限期改正，并可处2万元罚款。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警告，责令限期改正，并可处2万元以上2.5万元以下罚款。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警告，责令限期改正，并可处2.5万元以上3万元以下罚款。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250</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房地产开发企业在销售商品房中有下列行为的： (一)未按照规定的现售条件现售商品房的； (二)未按照规定在商品房现售前将房地产开发项目手册及符合商品房现售条件的有关证明文件报送房地产开发主管部门备案的； (三)返本销售或者变相返本销售商品房的； (四)采取售后包租或者变相售后包租方式销售未竣工商品房的； (五)分割拆零销售商品住宅的； (六)不符合商品房销售条件，向买受人收取预订款性质费用的；(七)未按照规定向买受人明示《商品房销售管理办法》、《商品房买卖合同示范文本》、《城市商品房预售管理办法》的； (八)委托没有资格的机构代理销售商品房的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《商品房销售管理办法》（建设部令第88号）第四十二条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《商品房销售管理办法》（建设部令第88号）第四十二条房地产开发企业在销售商品房中有下列行为之一的，处以警告，责令限期改正，并可处以1万元以上3万元以下罚款。 (一)未按照规定的现售条件现售商品房的； (二)未按照规定在商品房现售前将房地产开发项目手册及符合商品房现售条件的有关证明文件报送房地产开发主管部门备案的； (三)返本销售或者变相返本销售商品房的； (四)采取售后包租或者变相售后包租方式销售未竣工商品房的； (五)分割拆零销售商品住宅的； (六)不符合商品房销售条件，向买受人收取预订款性质费用的；(七)未按照规定向买受人明示《商品房销售管理办法》、《商品房买卖合同示范文本》、《城市商品房预售管理办法》的； (八)委托没有资格的机构代理销售商品房的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警告，责令限期改正，并可处1万元罚款。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警告，责令限期改正，并可处1万元以上2万元以下罚款。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警告，责令限期改正，并可处2万元以上3万元以下罚款。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251</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未办理租赁登记备案出租房屋、房屋租赁登记备案内容发生变化、续租或者租赁终止，当事人未到原租赁登记备案的部门办理房屋租赁登记备案的、变更、延续或者注销手续的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《商品房屋租赁管理办法》（建设部令第6号）第十四条第一款，第十九条，《安徽省城市房屋租赁管理办法》第八条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建设部令第6号）第二十三条违反本办法第十四条第一款、第十九条规定的，由直辖市、市、县人民政府建设（房地产）主管部门责令限期改正；个人逾期不改正的，处以一千元以下罚款；单位逾期不改正的，处以一千元以上一万元以下罚款。《安徽省城市房屋租赁管理办法》第十六条房屋租赁当事人违反本办法规定，未办理房屋租赁登记备案而出租房屋的，由县级以上地方人民政府房地产管理部门责令限期补办登记备案，并及时通知同级税务机关；经税务机关查实，房屋租赁当事人偷税、逃税的，按照税收法律、法规处理。</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《商品房屋租赁管理办法》（建设部令第6号）第十四条第一款 房屋租赁合同订立后三十日内，房屋租赁当事人应当到租赁房屋所在地直辖市、市、县人民政府建设（房地产）主管部门办理</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"https://baike.baidu.com/item/%E6%88%BF%E5%B1%8B%E7%A7%9F%E8%B5%81%E7%99%BB%E8%AE%B0/9767013" \t "https://baike.baidu.com/item/%E5%95%86%E5%93%81%E6%88%BF%E5%B1%8B%E7%A7%9F%E8%B5%81%E7%AE%A1%E7%90%86%E5%8A%9E%E6%B3%95/_blank"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房屋租赁登记</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备案。</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第十九条 房屋租赁登记备案内容发生变化、续租或者租赁终止的，当事人应当在三十日内，到原租赁登记备案的部门办理房屋租赁登记备案的变更、延续或者注销手续。</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《安徽省城市房屋租赁管理办法》</w:t>
            </w:r>
            <w:r>
              <w:rPr>
                <w:rFonts w:ascii="仿宋_GB2312" w:hAnsi="宋体" w:eastAsia="仿宋_GB2312" w:cs="Times New Roman"/>
                <w:color w:val="000000" w:themeColor="text1"/>
                <w:kern w:val="0"/>
                <w:szCs w:val="21"/>
                <w14:textFill>
                  <w14:solidFill>
                    <w14:schemeClr w14:val="tx1"/>
                  </w14:solidFill>
                </w14:textFill>
              </w:rPr>
              <w:t>第八条房屋租赁实行登记备案制度。</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房屋租赁当事人应当按照下列规定向房屋所在地市、县人民政府房地产管理部门申请登记备案：</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（一）租赁期限6个月以上的，自房屋租赁合同签订之日起30日内申请登记备案；</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（二）租赁期限6个月以下的，自房屋租赁合同签订之日起10日内申请登记备案。</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经责令改正，逾期不改，违法行为存续3个月以下的。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个人处以5百元以下罚款；单位处以5千元以下罚款。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经责令改正，逾期不改，违法行为存续3个月以上的。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个人处以5百元以上1千元以下罚款；单位处以5千元以上1万元以下罚款。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252</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违法建筑的房屋对外出租的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《商品房屋租赁管理办法》第六条第一款第（一）项</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0" w:lineRule="atLeas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建设部令第6号）第二十一条违反本办法第六条规定的，由直辖市、市、县人民政府建设（房地产）主管部门责令限期改正，对没有违法所得的，可处以五千元以下罚款；对有违法所得的，可以处以违法所得一倍以上三倍以下，但不超过三万元的罚款。</w:t>
            </w:r>
          </w:p>
          <w:p>
            <w:pPr>
              <w:widowControl/>
              <w:spacing w:line="0" w:lineRule="atLeas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第六条</w:t>
            </w:r>
            <w:r>
              <w:rPr>
                <w:rFonts w:hint="eastAsia" w:ascii="仿宋_GB2312" w:hAnsi="宋体" w:eastAsia="仿宋_GB2312" w:cs="Times New Roman"/>
                <w:color w:val="000000" w:themeColor="text1"/>
                <w:kern w:val="0"/>
                <w:szCs w:val="21"/>
                <w14:textFill>
                  <w14:solidFill>
                    <w14:schemeClr w14:val="tx1"/>
                  </w14:solidFill>
                </w14:textFill>
              </w:rPr>
              <w:t>第一款第（一）项</w:t>
            </w:r>
            <w:r>
              <w:rPr>
                <w:rFonts w:ascii="仿宋_GB2312" w:hAnsi="宋体" w:eastAsia="仿宋_GB2312" w:cs="Times New Roman"/>
                <w:color w:val="000000" w:themeColor="text1"/>
                <w:kern w:val="0"/>
                <w:szCs w:val="21"/>
                <w14:textFill>
                  <w14:solidFill>
                    <w14:schemeClr w14:val="tx1"/>
                  </w14:solidFill>
                </w14:textFill>
              </w:rPr>
              <w:t>有下列情形之一的房屋不得出租：</w:t>
            </w:r>
          </w:p>
          <w:p>
            <w:pPr>
              <w:widowControl/>
              <w:spacing w:line="240" w:lineRule="auto"/>
              <w:rPr>
                <w:rFonts w:ascii="仿宋_GB2312" w:hAnsi="宋体" w:eastAsia="仿宋_GB2312"/>
                <w:color w:val="000000" w:themeColor="text1"/>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（一）属于</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"https://baike.baidu.com/item/%E8%BF%9D%E6%B3%95%E5%BB%BA%E7%AD%91" \t "https://baike.baidu.com/item/%E5%95%86%E5%93%81%E6%88%BF%E5%B1%8B%E7%A7%9F%E8%B5%81%E7%AE%A1%E7%90%86%E5%8A%9E%E6%B3%95/_blank"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违法建筑</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的；</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责令限期改正，对没有违法所得的，可处以1千5百元以下罚款；对有违法所得的，可以处以违法所得1倍以上1.5倍以下，但不超过2万元的罚款。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责令限期改正，对没有违法所得的，处以1千5百元以上3千5百元以下罚款；对有违法所得的，处以违法所得1.5倍以上2.5倍以下，但不超过2.5万元的罚款。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责令限期改正，对没有违法所得的，处以3千5百元以上5千元以下罚款；对有违法所得的，处以违法所得2.5倍以上3倍以下，但不超过3万元的罚款。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253</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不符合安全、防灾等工程建设强制性标准的房屋出租的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《商品房屋租赁管理办法》第六条第一款第（二）项</w:t>
            </w:r>
          </w:p>
        </w:tc>
        <w:tc>
          <w:tcPr>
            <w:tcW w:w="4255" w:type="dxa"/>
            <w:gridSpan w:val="2"/>
            <w:vMerge w:val="restart"/>
            <w:tcBorders>
              <w:tl2br w:val="nil"/>
              <w:tr2bl w:val="nil"/>
            </w:tcBorders>
            <w:vAlign w:val="center"/>
          </w:tcPr>
          <w:p>
            <w:pPr>
              <w:widowControl/>
              <w:spacing w:line="0" w:lineRule="atLeas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建设部令第6号）第二十一条违反本办法第六条规定的，由直辖市、市、县人民政府建设（房地产）主管部门责令限期改正，对没有违法所得的，可处以五千元以下罚款；对有违法所得的，可以处以违法所得一倍以上三倍以下，但不超过三万元的罚款。</w:t>
            </w:r>
          </w:p>
          <w:p>
            <w:pPr>
              <w:widowControl/>
              <w:spacing w:line="0" w:lineRule="atLeas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第六条</w:t>
            </w:r>
            <w:r>
              <w:rPr>
                <w:rFonts w:hint="eastAsia" w:ascii="仿宋_GB2312" w:hAnsi="宋体" w:eastAsia="仿宋_GB2312" w:cs="Times New Roman"/>
                <w:color w:val="000000" w:themeColor="text1"/>
                <w:kern w:val="0"/>
                <w:szCs w:val="21"/>
                <w14:textFill>
                  <w14:solidFill>
                    <w14:schemeClr w14:val="tx1"/>
                  </w14:solidFill>
                </w14:textFill>
              </w:rPr>
              <w:t>第一款第（二）项</w:t>
            </w:r>
            <w:r>
              <w:rPr>
                <w:rFonts w:ascii="仿宋_GB2312" w:hAnsi="宋体" w:eastAsia="仿宋_GB2312" w:cs="Times New Roman"/>
                <w:color w:val="000000" w:themeColor="text1"/>
                <w:kern w:val="0"/>
                <w:szCs w:val="21"/>
                <w14:textFill>
                  <w14:solidFill>
                    <w14:schemeClr w14:val="tx1"/>
                  </w14:solidFill>
                </w14:textFill>
              </w:rPr>
              <w:t>有下列情形之一的房屋不得出租：</w:t>
            </w:r>
          </w:p>
          <w:p>
            <w:pPr>
              <w:widowControl/>
              <w:spacing w:line="0" w:lineRule="atLeast"/>
              <w:rPr>
                <w:color w:val="000000" w:themeColor="text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（二）不符合安全、防灾等工程建设强制性标准的；</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责令限期改正，对没有违法所得的，可处以1千5百元以下罚款；对有违法所得的，可以处以违法所得1倍以上1.5倍以下，但不超过2万元的罚款。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责令限期改正，对没有违法所得的，处以1千5百元以上3千5百元以下罚款；对有违法所得的，处以违法所得1.5倍以上2.5倍以下，但不超过2.5万元的罚款。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责令限期改正，对没有违法所得的，处以3千5百元以上5千元以下罚款；对有违法所得的，处以违法所得2.5倍以上3倍以下，但不超过3万元的罚款。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254</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擅自改变房屋使用性质的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《商品房屋租赁管理办法》第六条第一款第（三）项</w:t>
            </w:r>
          </w:p>
        </w:tc>
        <w:tc>
          <w:tcPr>
            <w:tcW w:w="4255" w:type="dxa"/>
            <w:gridSpan w:val="2"/>
            <w:vMerge w:val="restart"/>
            <w:tcBorders>
              <w:tl2br w:val="nil"/>
              <w:tr2bl w:val="nil"/>
            </w:tcBorders>
            <w:vAlign w:val="center"/>
          </w:tcPr>
          <w:p>
            <w:pPr>
              <w:widowControl/>
              <w:spacing w:line="0" w:lineRule="atLeas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建设部令第6号）第二十一条违反本办法第六条规定的，由直辖市、市、县人民政府建设（房地产）主管部门责令限期改正，对没有违法所得的，可处以五千元以下罚款；对有违法所得的，可以处以违法所得一倍以上三倍以下，但不超过三万元的罚款。</w:t>
            </w:r>
          </w:p>
          <w:p>
            <w:pPr>
              <w:widowControl/>
              <w:spacing w:line="0" w:lineRule="atLeas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第六条第一款第（三）项</w:t>
            </w:r>
            <w:r>
              <w:rPr>
                <w:rFonts w:ascii="仿宋_GB2312" w:hAnsi="宋体" w:eastAsia="仿宋_GB2312" w:cs="Times New Roman"/>
                <w:color w:val="000000" w:themeColor="text1"/>
                <w:kern w:val="0"/>
                <w:szCs w:val="21"/>
                <w14:textFill>
                  <w14:solidFill>
                    <w14:schemeClr w14:val="tx1"/>
                  </w14:solidFill>
                </w14:textFill>
              </w:rPr>
              <w:t>有下列情形之一的房屋不得出租：</w:t>
            </w:r>
          </w:p>
          <w:p>
            <w:pPr>
              <w:widowControl/>
              <w:spacing w:line="0" w:lineRule="atLeas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（三）违反规定改变房屋使用性质的；</w:t>
            </w:r>
          </w:p>
          <w:p>
            <w:pPr>
              <w:widowControl/>
              <w:spacing w:line="0" w:lineRule="atLeast"/>
              <w:rPr>
                <w:rFonts w:ascii="仿宋_GB2312" w:hAnsi="宋体" w:eastAsia="仿宋_GB2312" w:cs="Times New Roman"/>
                <w:color w:val="000000" w:themeColor="text1"/>
                <w:kern w:val="0"/>
                <w:szCs w:val="21"/>
                <w14:textFill>
                  <w14:solidFill>
                    <w14:schemeClr w14:val="tx1"/>
                  </w14:solidFill>
                </w14:textFill>
              </w:rPr>
            </w:pPr>
          </w:p>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责令限期改正，对没有违法所得的，可处以1千5百元以下罚款；对有违法所得的，可以处以违法所得1倍以上1.5倍以下，但不超过2万元的罚款。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责令限期改正，对没有违法所得的，处以1千5百元以上3千5百元以下罚款；对有违法所得的，处以违法所得1.5倍以上2.5倍以下，但不超过2.5万元的罚款。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责令限期改正，对没有违法所得的，处以3千5百元以上5千元以下罚款；对有违法所得的，处以违法所得2.5倍以上3倍以下，但不超过3万元的罚款。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255</w:t>
            </w:r>
          </w:p>
        </w:tc>
        <w:tc>
          <w:tcPr>
            <w:tcW w:w="1440"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出租法律、法规规定禁止出租的其他情形房屋的</w:t>
            </w:r>
          </w:p>
        </w:tc>
        <w:tc>
          <w:tcPr>
            <w:tcW w:w="1115" w:type="dxa"/>
            <w:gridSpan w:val="3"/>
            <w:vMerge w:val="restart"/>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《商品房屋租赁管理办法》第六条第一款第（四）项</w:t>
            </w:r>
          </w:p>
        </w:tc>
        <w:tc>
          <w:tcPr>
            <w:tcW w:w="4255" w:type="dxa"/>
            <w:gridSpan w:val="2"/>
            <w:vMerge w:val="restart"/>
            <w:tcBorders>
              <w:tl2br w:val="nil"/>
              <w:tr2bl w:val="nil"/>
            </w:tcBorders>
            <w:vAlign w:val="center"/>
          </w:tcPr>
          <w:p>
            <w:pPr>
              <w:widowControl/>
              <w:spacing w:line="0" w:lineRule="atLeast"/>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建设部令第6号）第二十一条违反本办法第六条规定的，由直辖市、市、县人民政府建设（房地产）主管部门责令限期改正，对没有违法所得的，可处以五千元以下罚款；对有违法所得的，可以处以违法所得一倍以上三倍以下，但不超过三万元的罚款。</w:t>
            </w:r>
          </w:p>
          <w:p>
            <w:pPr>
              <w:widowControl/>
              <w:spacing w:line="0" w:lineRule="atLeast"/>
              <w:jc w:val="lef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第六条</w:t>
            </w:r>
            <w:r>
              <w:rPr>
                <w:rFonts w:hint="eastAsia" w:ascii="仿宋_GB2312" w:hAnsi="宋体" w:eastAsia="仿宋_GB2312" w:cs="Times New Roman"/>
                <w:color w:val="000000" w:themeColor="text1"/>
                <w:kern w:val="0"/>
                <w:szCs w:val="21"/>
                <w14:textFill>
                  <w14:solidFill>
                    <w14:schemeClr w14:val="tx1"/>
                  </w14:solidFill>
                </w14:textFill>
              </w:rPr>
              <w:t>第一款第（四）项</w:t>
            </w:r>
            <w:r>
              <w:rPr>
                <w:rFonts w:ascii="仿宋_GB2312" w:hAnsi="宋体" w:eastAsia="仿宋_GB2312" w:cs="Times New Roman"/>
                <w:color w:val="000000" w:themeColor="text1"/>
                <w:kern w:val="0"/>
                <w:szCs w:val="21"/>
                <w14:textFill>
                  <w14:solidFill>
                    <w14:schemeClr w14:val="tx1"/>
                  </w14:solidFill>
                </w14:textFill>
              </w:rPr>
              <w:t>有下列情形之一的房屋不得出租：</w:t>
            </w:r>
          </w:p>
          <w:p>
            <w:pPr>
              <w:widowControl/>
              <w:spacing w:line="0" w:lineRule="atLeast"/>
              <w:jc w:val="lef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（四）法律、法规规定禁止出租的其他情形。</w:t>
            </w:r>
          </w:p>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责令限期改正，对没有违法所得的，可处以1千5百元以下罚款；对有违法所得的，可以处以违法所得1倍以上1.5倍以下，但不超过2万元的罚款。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责令限期改正，对没有违法所得的，处以1千5百元以上3千5百元以下罚款；对有违法所得的，处以违法所得1.5倍以上2.5倍以下，但不超过2.5万元的罚款。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责令限期改正，对没有违法所得的，处以3千5百元以上5千元以下罚款；对有违法所得的，处以违法所得2.5倍以上3倍以下，但不超过3万元的罚款。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256</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0" w:lineRule="atLeas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出租人违反本办法规定，将不得出租的房屋出租的</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0" w:lineRule="atLeast"/>
              <w:jc w:val="left"/>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0" w:lineRule="atLeast"/>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《安徽省城市房屋租赁管理办法》第四条</w:t>
            </w: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0" w:lineRule="atLeas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城市房屋租赁管理办法》第十七条出租人违反本办法规定，将不得出租的房屋出租的，由县级以上地方人民政府房地产管理部门责令停止出租，没有违法所得的，处以1000元以下的罚款；有违法所得的，处以违法所得1至2倍的罚款，罚款不超过3万元。</w:t>
            </w:r>
          </w:p>
          <w:p>
            <w:pPr>
              <w:widowControl/>
              <w:spacing w:line="0" w:lineRule="atLeas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第四条有下列情形之一的房屋，不得出租：</w:t>
            </w:r>
          </w:p>
          <w:p>
            <w:pPr>
              <w:widowControl/>
              <w:spacing w:line="0" w:lineRule="atLeas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（一）未依法取得房屋所有权证和土地使用权证的；</w:t>
            </w:r>
          </w:p>
          <w:p>
            <w:pPr>
              <w:widowControl/>
              <w:spacing w:line="0" w:lineRule="atLeas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（二）产权有争议或者受到限制的；</w:t>
            </w:r>
          </w:p>
          <w:p>
            <w:pPr>
              <w:widowControl/>
              <w:spacing w:line="0" w:lineRule="atLeas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（三）共有房屋未取得共有人同意的；</w:t>
            </w:r>
          </w:p>
          <w:p>
            <w:pPr>
              <w:widowControl/>
              <w:spacing w:line="0" w:lineRule="atLeas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（四）已作为资产抵押，未经抵押权人同意的；</w:t>
            </w:r>
          </w:p>
          <w:p>
            <w:pPr>
              <w:widowControl/>
              <w:spacing w:line="0" w:lineRule="atLeas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（五）属于违法建筑的；</w:t>
            </w:r>
          </w:p>
          <w:p>
            <w:pPr>
              <w:widowControl/>
              <w:spacing w:line="0" w:lineRule="atLeas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（六）不符合房屋安全标准，影响使用安全的；</w:t>
            </w:r>
          </w:p>
          <w:p>
            <w:pPr>
              <w:widowControl/>
              <w:spacing w:line="0" w:lineRule="atLeast"/>
              <w:jc w:val="left"/>
              <w:textAlignment w:val="center"/>
              <w:rPr>
                <w:rFonts w:ascii="仿宋_GB2312" w:hAnsi="宋体" w:eastAsia="仿宋_GB2312" w:cs="Times New Roman"/>
                <w:color w:val="000000" w:themeColor="text1"/>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（七）法律、法规规定禁止出租的其他情形。</w:t>
            </w: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责令停止出租，没有违法所得的，处以3百元以下的罚款；有违法所得的，处以违法所得1倍的罚款，罚款不超过1万元。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责令停止出租，没有违法所得的，处以3百元以上6百元以下的罚款；有违法所得的，处以违法所得1倍以上1.5倍以下的罚款，罚款不超过2万元。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责令停止出租，没有违法所得的，处以6百元以上1千元以下的罚款；有违法所得的，处以违法所得1.5倍以上2倍以下的罚款，罚款不超过3万元。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257</w:t>
            </w:r>
          </w:p>
        </w:tc>
        <w:tc>
          <w:tcPr>
            <w:tcW w:w="1440" w:type="dxa"/>
            <w:gridSpan w:val="2"/>
            <w:vMerge w:val="restart"/>
            <w:tcBorders>
              <w:tl2br w:val="nil"/>
              <w:tr2bl w:val="nil"/>
            </w:tcBorders>
            <w:vAlign w:val="center"/>
          </w:tcPr>
          <w:p>
            <w:pPr>
              <w:widowControl/>
              <w:spacing w:line="0" w:lineRule="atLeas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0" w:lineRule="atLeas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出租住房，未按原设计的房间为最小出租单位，人均租住建筑面积低于当地政府规定的最低标准的</w:t>
            </w:r>
          </w:p>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restart"/>
            <w:tcBorders>
              <w:tl2br w:val="nil"/>
              <w:tr2bl w:val="nil"/>
            </w:tcBorders>
            <w:vAlign w:val="center"/>
          </w:tcPr>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p>
          <w:p>
            <w:pPr>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《商品房屋租赁管理办法》第八条第一款</w:t>
            </w: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《商品房屋租赁管理办法》第二十二条违反本办法第八条规定的，由直辖市、市、县人民政府建设（房地产）主管部门责令限期改正，逾期不改正的，可处以五千元以上三万元以下罚款。</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第八条第一款出租住房的，应当以原设计的房间为最小出租单位，人均租住建筑面积不得低于当地人民政府规定的最低标准。</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0"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经责令限期改正，逾期1个月以下。</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可处以5千元以上2万元以下罚款。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（1）经责令限期改正，逾期1个月以上；（2）2年内2次及以上同类型违法；（3）足以影响房地产市场秩序和社会稳定的。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258</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厨房、卫生间、阳台和地下储藏室出租供人员居住的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《商品房屋租赁管理办法》第八条第二款</w:t>
            </w: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《商品房屋租赁管理办法》第二十二条：</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违反本办法第八条规定的，由直辖市、市、县人民政府建设（房地产）主管部门责令限期改正，逾期不改正的，可处以五千元以上三万元以下罚款。</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第八条第二款厨房、卫生间、阳台和地下储藏室不得出租供人员居住。</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经责令限期改正，逾期1个月以下。</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可处以5千元以上2万元以下罚款。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（1）经责令限期改正，逾期1个月以上；（2）2年内2次及以上同类型违法；（3）足以影响房地产市场秩序和社会稳定的。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259</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房屋租赁合同订立后三十日内，房屋租赁当事人未办理房屋租赁登记备案的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《商品房屋租赁管理办法》第十四条第一款</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《商品房屋租赁管理办法》第二十三条：</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违反本办法第十四条第一款、第十九条规定，由直辖市、市、县人民政府建设（房地产）主管部门责令限期改正；个人逾期不改正的，处以一千元以下罚款；单位逾期不改正的，处以一千元以上一万元以下罚款</w:t>
            </w:r>
          </w:p>
          <w:p>
            <w:pPr>
              <w:spacing w:line="240" w:lineRule="auto"/>
              <w:rPr>
                <w:color w:val="000000" w:themeColor="text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第十四条第一款房屋租赁合同订立后三十日内，房屋租赁当事人应当到租赁房屋所在地直辖市、市、县人民政府建设（房地产）主管部门办理</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"https://baike.baidu.com/item/%E6%88%BF%E5%B1%8B%E7%A7%9F%E8%B5%81%E7%99%BB%E8%AE%B0/9767013" \t "https://baike.baidu.com/item/%E5%95%86%E5%93%81%E6%88%BF%E5%B1%8B%E7%A7%9F%E8%B5%81%E7%AE%A1%E7%90%86%E5%8A%9E%E6%B3%95/_blank"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房屋租赁登记</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备案。</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经责令限期改正，逾期1个月以下。</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个人处以5百元以下罚款；单位处以1千元以上5千元以下罚款。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（1）经责令限期改正，逾期1个月以上；（2）2年内2次及以上同类型违法；（3）足以影响房地产市场秩序和社会稳定的。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个人处以5百元以上1千元以下罚款；单位处以5千元以上1万元以下罚款。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260</w:t>
            </w:r>
          </w:p>
        </w:tc>
        <w:tc>
          <w:tcPr>
            <w:tcW w:w="1440" w:type="dxa"/>
            <w:gridSpan w:val="2"/>
            <w:vMerge w:val="restart"/>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房屋租赁登记备案内容发生变化、续租或者租赁终止的，当事人未到原租赁登记备案的部门办理房屋租赁登记备案的变更、延续或者注销手续的</w:t>
            </w:r>
          </w:p>
        </w:tc>
        <w:tc>
          <w:tcPr>
            <w:tcW w:w="1115"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《商品房屋租赁管理办法》第十九条</w:t>
            </w:r>
          </w:p>
        </w:tc>
        <w:tc>
          <w:tcPr>
            <w:tcW w:w="4255" w:type="dxa"/>
            <w:gridSpan w:val="2"/>
            <w:vMerge w:val="restart"/>
            <w:tcBorders>
              <w:tl2br w:val="nil"/>
              <w:tr2bl w:val="nil"/>
            </w:tcBorders>
            <w:vAlign w:val="center"/>
          </w:tcPr>
          <w:p>
            <w:pPr>
              <w:widowControl/>
              <w:spacing w:line="0" w:lineRule="atLeas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《商品房屋租赁管理办法》第二十三条：</w:t>
            </w:r>
          </w:p>
          <w:p>
            <w:pPr>
              <w:widowControl/>
              <w:spacing w:line="0" w:lineRule="atLeas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违反本办法第十四条第一款、第十九条规定，由直辖市、市、县人民政府建设（房地产）主管部门责令限期改正；个人逾期不改正的，处以一千元以下罚款；单位逾期不改正的，处以一千元以上一万元以下罚款</w:t>
            </w:r>
          </w:p>
          <w:p>
            <w:pPr>
              <w:widowControl/>
              <w:spacing w:line="0" w:lineRule="atLeas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第十九条 房屋租赁登记备案内容发生变化、续租或者租赁终止的，当事人应当在三十日内，到原租赁登记备案的部门办理房屋租赁登记备案的变更、延续或者注销手续。</w:t>
            </w: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经责令限期改正，逾期1个月以下未改的。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个人处以5百元以下罚款；单位处以1千元以上5千元以下罚款。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（1）经责令限期改正，逾期1个月以上未改的；（2）2年内2次及以上同类型违法；（3）足以影响房地产市场秩序和社会稳定的。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个人处以5百元以上1千元以下罚款；单位处以5千元以上1万元以下罚款。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9"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261</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房地产经纪人员以个人名义承接房地产经纪业务和收取费用的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《房地产经纪管理办法》第十四条第二款，</w:t>
            </w: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第一款第</w:t>
            </w:r>
            <w:r>
              <w:rPr>
                <w:rFonts w:ascii="仿宋_GB2312" w:hAnsi="宋体" w:eastAsia="仿宋_GB2312" w:cs="Times New Roman"/>
                <w:color w:val="000000" w:themeColor="text1"/>
                <w:kern w:val="0"/>
                <w:szCs w:val="21"/>
                <w14:textFill>
                  <w14:solidFill>
                    <w14:schemeClr w14:val="tx1"/>
                  </w14:solidFill>
                </w14:textFill>
              </w:rPr>
              <w:t>（一）</w:t>
            </w:r>
            <w:r>
              <w:rPr>
                <w:rFonts w:hint="eastAsia" w:ascii="仿宋_GB2312" w:hAnsi="宋体" w:eastAsia="仿宋_GB2312" w:cs="Times New Roman"/>
                <w:color w:val="000000" w:themeColor="text1"/>
                <w:kern w:val="0"/>
                <w:szCs w:val="21"/>
                <w14:textFill>
                  <w14:solidFill>
                    <w14:schemeClr w14:val="tx1"/>
                  </w14:solidFill>
                </w14:textFill>
              </w:rPr>
              <w:t>项</w:t>
            </w: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第三十三条　违反本办法，有下列行为之一的，由县级以上地方人民政府建设（房地产）主管部门责令限期改正，记入信用档案；对房地产经纪人员处以1万元罚款；对房地产经纪机构处以1万元以上3万元以下罚款：</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（一）房地产经纪人员以个人名义承接房地产经纪业务和收取费用的；</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第十四条</w:t>
            </w:r>
            <w:r>
              <w:rPr>
                <w:rFonts w:hint="eastAsia" w:ascii="仿宋_GB2312" w:hAnsi="宋体" w:eastAsia="仿宋_GB2312" w:cs="Times New Roman"/>
                <w:color w:val="000000" w:themeColor="text1"/>
                <w:kern w:val="0"/>
                <w:szCs w:val="21"/>
                <w14:textFill>
                  <w14:solidFill>
                    <w14:schemeClr w14:val="tx1"/>
                  </w14:solidFill>
                </w14:textFill>
              </w:rPr>
              <w:t>第二款</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房地产经纪人员不得以个人名义承接房地产经纪业务和收取费用。</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违法行为存续期间为1个月以下的。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违法行为存续期间为1个月以上3个月以下的。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违法行为存续期间为3个月以上的。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262</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"http://baike.baidu.com/subview/3575614/3575614.htm" \t "_blank" </w:instrText>
            </w:r>
            <w:r>
              <w:rPr>
                <w:color w:val="000000" w:themeColor="text1"/>
                <w14:textFill>
                  <w14:solidFill>
                    <w14:schemeClr w14:val="tx1"/>
                  </w14:solidFill>
                </w14:textFill>
              </w:rPr>
              <w:fldChar w:fldCharType="separate"/>
            </w:r>
            <w:r>
              <w:rPr>
                <w:rFonts w:hint="eastAsia" w:ascii="仿宋_GB2312" w:hAnsi="宋体" w:eastAsia="仿宋_GB2312" w:cs="Times New Roman"/>
                <w:color w:val="000000" w:themeColor="text1"/>
                <w:kern w:val="0"/>
                <w:szCs w:val="21"/>
                <w14:textFill>
                  <w14:solidFill>
                    <w14:schemeClr w14:val="tx1"/>
                  </w14:solidFill>
                </w14:textFill>
              </w:rPr>
              <w:t>房地产经纪机构</w:t>
            </w:r>
            <w:r>
              <w:rPr>
                <w:rFonts w:hint="eastAsia" w:ascii="仿宋_GB2312" w:hAnsi="宋体" w:eastAsia="仿宋_GB2312" w:cs="Times New Roman"/>
                <w:color w:val="000000" w:themeColor="text1"/>
                <w:kern w:val="0"/>
                <w:szCs w:val="21"/>
                <w14:textFill>
                  <w14:solidFill>
                    <w14:schemeClr w14:val="tx1"/>
                  </w14:solidFill>
                </w14:textFill>
              </w:rPr>
              <w:fldChar w:fldCharType="end"/>
            </w:r>
            <w:r>
              <w:rPr>
                <w:rFonts w:hint="eastAsia" w:ascii="仿宋_GB2312" w:hAnsi="宋体" w:eastAsia="仿宋_GB2312" w:cs="Times New Roman"/>
                <w:color w:val="000000" w:themeColor="text1"/>
                <w:kern w:val="0"/>
                <w:szCs w:val="21"/>
                <w14:textFill>
                  <w14:solidFill>
                    <w14:schemeClr w14:val="tx1"/>
                  </w14:solidFill>
                </w14:textFill>
              </w:rPr>
              <w:t>提供代办贷款、代办房地产登记等其他服务，未向委托人说明服务内容、收费标准等情况，并未经委托人同意的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《房地产经纪管理办法》第十七条，</w:t>
            </w: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第一款第</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二</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项</w:t>
            </w: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《房地产经纪管理办法》第三十三条：</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违反本办法，有下列行为之一的，由县级以上地方人民政府建设（房地产）主管部门责令限期改正，记入信用档案；对房地产经纪人员处以1万元罚款；对房地产经纪机构处以1万元以上3万元以下罚款。</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（二）房地产经纪机构提供代办贷款、代办房地产登记等其他服务，未向委托人说明服务内容、收费标准等情况，并未经委托人同意的；</w:t>
            </w:r>
          </w:p>
          <w:p>
            <w:pPr>
              <w:snapToGrid w:val="0"/>
              <w:spacing w:line="240" w:lineRule="auto"/>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第十七条</w:t>
            </w:r>
            <w:r>
              <w:rPr>
                <w:rFonts w:ascii="仿宋_GB2312" w:hAnsi="宋体" w:eastAsia="仿宋_GB2312" w:cs="Times New Roman"/>
                <w:color w:val="000000" w:themeColor="text1"/>
                <w:kern w:val="0"/>
                <w:szCs w:val="21"/>
                <w14:textFill>
                  <w14:solidFill>
                    <w14:schemeClr w14:val="tx1"/>
                  </w14:solidFill>
                </w14:textFill>
              </w:rPr>
              <w:t>房地产经纪机构提供代办贷款、代办房地产登记等其他服务的，应当向委托人说明服务内容、收费标准等情况，经委托人同意后，另行签订合同。</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263</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房地产经纪服务合同</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未</w:t>
            </w:r>
            <w:r>
              <w:rPr>
                <w:rFonts w:ascii="仿宋_GB2312" w:hAnsi="宋体" w:eastAsia="仿宋_GB2312" w:cs="Times New Roman"/>
                <w:color w:val="000000" w:themeColor="text1"/>
                <w:kern w:val="0"/>
                <w:szCs w:val="21"/>
                <w14:textFill>
                  <w14:solidFill>
                    <w14:schemeClr w14:val="tx1"/>
                  </w14:solidFill>
                </w14:textFill>
              </w:rPr>
              <w:t>加盖房地产经纪机构印章，</w:t>
            </w:r>
            <w:r>
              <w:rPr>
                <w:rFonts w:hint="eastAsia" w:ascii="仿宋_GB2312" w:hAnsi="宋体" w:eastAsia="仿宋_GB2312" w:cs="Times New Roman"/>
                <w:color w:val="000000" w:themeColor="text1"/>
                <w:kern w:val="0"/>
                <w:szCs w:val="21"/>
                <w14:textFill>
                  <w14:solidFill>
                    <w14:schemeClr w14:val="tx1"/>
                  </w14:solidFill>
                </w14:textFill>
              </w:rPr>
              <w:t>未由从事该业务的一名房地产经纪人或者两名房地产经纪人协理签名的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《房地产经纪管理办法》第二十条，</w:t>
            </w: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第一款第</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三</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项</w:t>
            </w: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《房地产经纪管理办法》第三十三条：</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违反本办法，有下列行为之一的，由县级以上地方人民政府建设（房地产）主管部门责令限期改正，记入信用档案；对房地产经纪人员处以1万元罚款；对房地产经纪机构处以1万元以上3万元以下罚款。</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（三）房地产经纪服务合同未由从事该业务的一名房地产经纪人或者两名房地产经纪人协理签名的；</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第二十条</w:t>
            </w:r>
            <w:r>
              <w:rPr>
                <w:rFonts w:ascii="仿宋_GB2312" w:hAnsi="宋体" w:eastAsia="仿宋_GB2312" w:cs="Times New Roman"/>
                <w:color w:val="000000" w:themeColor="text1"/>
                <w:kern w:val="0"/>
                <w:szCs w:val="21"/>
                <w14:textFill>
                  <w14:solidFill>
                    <w14:schemeClr w14:val="tx1"/>
                  </w14:solidFill>
                </w14:textFill>
              </w:rPr>
              <w:t>房地产经纪机构签订的房地产经纪服务合同，应当加盖房地产经纪机构印章，并由从事该业务的一名房地产经纪人或者两名房地产经纪人协理签名。</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264</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房地产经纪机构签订房地产经纪服务合同前，未向委托人说明和书面告知相关内容和规定事项的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《房地产经纪管理办法》第二十一条，</w:t>
            </w: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第一款第</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四</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《房地产经纪管理办法》第三十三条：</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违反本办法，有下列行为之一的，由县级以上地方人民政府建设（房地产）主管部门责令限期改正，记入信用档案；对房地产经纪人员处以1万元罚款；对房地产经纪机构处以1万元以上3万元以下罚款。</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（四）房地产经纪机构签订房地产经纪服务合同前，不向交易当事人说明和书面告知规定事项的；</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第二十一条　房地产经纪机构签订房地产经纪服务合同前，应当向委托人说明房地产经纪服务合同和</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"https://baike.baidu.com/item/%E6%88%BF%E5%B1%8B%E4%B9%B0%E5%8D%96%E5%90%88%E5%90%8C/9488602"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房屋买卖合同</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或者</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"https://baike.baidu.com/item/%E6%88%BF%E5%B1%8B%E7%A7%9F%E8%B5%81%E5%90%88%E5%90%8C"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房屋租赁合同</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的相关内容，并书面告知下列事项：</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（一）是否与委托房屋有利害关系；</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（二）应当由委托人协助的事宜、提供的资料；</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（三）委托房屋的市场参考价格；</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（四）房屋交易的一般程序及可能存在的风险；</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（五）房屋交易涉及的税费；</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（六）经纪服务的内容及完成标准；</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（七）经纪服务收费标准和支付时间；</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（八）其他需要告知的事项。</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265</w:t>
            </w:r>
          </w:p>
        </w:tc>
        <w:tc>
          <w:tcPr>
            <w:tcW w:w="1440"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房地产经纪机构未按照规定如实记录业务情况或者保存房地产经纪服务合同的</w:t>
            </w:r>
          </w:p>
        </w:tc>
        <w:tc>
          <w:tcPr>
            <w:tcW w:w="1115"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《房地产经纪管理办法》第二十六条第一款，</w:t>
            </w: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五</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项</w:t>
            </w:r>
          </w:p>
        </w:tc>
        <w:tc>
          <w:tcPr>
            <w:tcW w:w="4255"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《房地产经纪管理办法》第三十三条：</w:t>
            </w:r>
          </w:p>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违反本办法，有下列行为之一的，由县级以上地方人民政府建设（房地产）主管部门责令限期改正，记入信用档案；对房地产经纪人员处以1万元罚款；对房地产经纪机构处以1万元以上3万元以下罚款。</w:t>
            </w:r>
          </w:p>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（五）房地产经纪机构未按照规定如实记录业务情况或者保存房地产经纪服务合同的。</w:t>
            </w:r>
          </w:p>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房地产经纪机构应当建立业务记录制度，如实记录业务情况。</w:t>
            </w:r>
          </w:p>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266</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房地产经纪机构擅自对外发布房源信息的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《房地产经纪管理办法》第二十二条第一款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三十五条违反本办法第二十二条，房地产经纪机构擅自对外发布房源信息的，由县级以上地方人民政府建设（房地产）主管部门责令限期改正，记入信用档案，取消网上签约资格，并处以1万元以上3万元以下罚款。</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第二十二条第一款</w:t>
            </w:r>
            <w:r>
              <w:rPr>
                <w:rFonts w:ascii="仿宋_GB2312" w:hAnsi="宋体" w:eastAsia="仿宋_GB2312" w:cs="Times New Roman"/>
                <w:color w:val="000000" w:themeColor="text1"/>
                <w:kern w:val="0"/>
                <w:szCs w:val="21"/>
                <w14:textFill>
                  <w14:solidFill>
                    <w14:schemeClr w14:val="tx1"/>
                  </w14:solidFill>
                </w14:textFill>
              </w:rPr>
              <w:t>房地产经纪机构与委托人签订房屋出售、出租经纪服务合同，应当查看委托出售、出租的房屋及</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"https://baike.baidu.com/item/%E6%88%BF%E5%B1%8B%E6%9D%83%E5%B1%9E%E8%AF%81%E4%B9%A6" \t "https://baike.baidu.com/item/%E6%88%BF%E5%9C%B0%E4%BA%A7%E7%BB%8F%E7%BA%AA%E7%AE%A1%E7%90%86%E5%8A%9E%E6%B3%95/_blank"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房屋权属证书</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，委托人的身份证明等有关资料，并应当编制房屋状况说明书。经委托人书面同意后，方可以对外发布相应的房源信息。</w:t>
            </w:r>
          </w:p>
          <w:p>
            <w:pPr>
              <w:widowControl/>
              <w:spacing w:line="240" w:lineRule="auto"/>
              <w:textAlignment w:val="center"/>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责令限期改正，记入信用档案，取消网上签约资格1个月，处1万元以上1.5元以下的罚款。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责令限期改正，记入信用档案，取消网上签约资格2个月，处1.5万元以上2.5万元以下的罚款。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责令限期改正，记入信用档案，取消网上签约资格3个月，处2.5万元以上3万元以下的罚款。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267</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聘用单位为申请人提供虚假注册材料的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p>
            <w:pPr>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《注册房地产估价师管理办法》第三十四条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《注册房地产估价师管理办法》第三十四条：</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聘用单位为申请人提供虚假注册材料的，由省、自治区、直辖市人民政府建设（房地产）主管部门给予警告，并可处以1万元以上3万元以下的罚款。</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给予警告，并可处以1万元以上1.5万元以下的罚款。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 w:hRule="atLeast"/>
          <w:jc w:val="center"/>
        </w:trPr>
        <w:tc>
          <w:tcPr>
            <w:tcW w:w="581" w:type="dxa"/>
            <w:gridSpan w:val="3"/>
            <w:vMerge w:val="continue"/>
            <w:tcBorders>
              <w:tl2br w:val="nil"/>
              <w:tr2bl w:val="nil"/>
            </w:tcBorders>
            <w:tcMar>
              <w:top w:w="15" w:type="dxa"/>
              <w:left w:w="15" w:type="dxa"/>
              <w:bottom w:w="15" w:type="dxa"/>
              <w:right w:w="15" w:type="dxa"/>
            </w:tcMar>
            <w:vAlign w:val="center"/>
          </w:tcPr>
          <w:p>
            <w:pPr>
              <w:pStyle w:val="29"/>
              <w:widowControl/>
              <w:numPr>
                <w:ilvl w:val="0"/>
                <w:numId w:val="1"/>
              </w:numPr>
              <w:spacing w:line="240" w:lineRule="auto"/>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40" w:type="dxa"/>
            <w:gridSpan w:val="2"/>
            <w:vMerge w:val="continue"/>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55" w:type="dxa"/>
            <w:gridSpan w:val="2"/>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给予警告，并处以1.5万元以上2.5万元以下的罚款。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 w:hRule="atLeast"/>
          <w:jc w:val="center"/>
        </w:trPr>
        <w:tc>
          <w:tcPr>
            <w:tcW w:w="581" w:type="dxa"/>
            <w:gridSpan w:val="3"/>
            <w:vMerge w:val="continue"/>
            <w:tcBorders>
              <w:tl2br w:val="nil"/>
              <w:tr2bl w:val="nil"/>
            </w:tcBorders>
            <w:tcMar>
              <w:top w:w="15" w:type="dxa"/>
              <w:left w:w="15" w:type="dxa"/>
              <w:bottom w:w="15" w:type="dxa"/>
              <w:right w:w="15" w:type="dxa"/>
            </w:tcMar>
            <w:vAlign w:val="center"/>
          </w:tcPr>
          <w:p>
            <w:pPr>
              <w:pStyle w:val="29"/>
              <w:widowControl/>
              <w:numPr>
                <w:ilvl w:val="0"/>
                <w:numId w:val="1"/>
              </w:numPr>
              <w:spacing w:line="240" w:lineRule="auto"/>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40" w:type="dxa"/>
            <w:gridSpan w:val="2"/>
            <w:vMerge w:val="continue"/>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给予警告，并处以2.5万元以上3万元以下的罚款。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5"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268</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以欺骗、贿赂等不正当手段取得房地产估价师注册证书的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《注册房地产估价师管理办法》第三十一条第二款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《注册房地产估价师管理办法》第三十五条：</w:t>
            </w:r>
          </w:p>
          <w:p>
            <w:pPr>
              <w:widowControl/>
              <w:spacing w:after="150" w:line="240" w:lineRule="auto"/>
              <w:ind w:firstLine="42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由国务院建设主管部门撤销其注册，3年内不得再次申请注册，并由县级以上地方人民政府建设（房地产）主管部门处以罚款，其中没有违法所得的，处以1万元以下罚款，有违法所得的，处以违法所得3倍以下且不超过3万元的罚款；构成犯罪的，依法追究刑事责任。</w:t>
            </w:r>
            <w:r>
              <w:rPr>
                <w:rFonts w:ascii="仿宋_GB2312" w:hAnsi="宋体" w:eastAsia="仿宋_GB2312" w:cs="Times New Roman"/>
                <w:color w:val="000000" w:themeColor="text1"/>
                <w:kern w:val="0"/>
                <w:szCs w:val="21"/>
                <w14:textFill>
                  <w14:solidFill>
                    <w14:schemeClr w14:val="tx1"/>
                  </w14:solidFill>
                </w14:textFill>
              </w:rPr>
              <w:t>第三十一条</w:t>
            </w:r>
            <w:r>
              <w:rPr>
                <w:rFonts w:hint="eastAsia" w:ascii="仿宋_GB2312" w:hAnsi="宋体" w:eastAsia="仿宋_GB2312" w:cs="Times New Roman"/>
                <w:color w:val="000000" w:themeColor="text1"/>
                <w:kern w:val="0"/>
                <w:szCs w:val="21"/>
                <w14:textFill>
                  <w14:solidFill>
                    <w14:schemeClr w14:val="tx1"/>
                  </w14:solidFill>
                </w14:textFill>
              </w:rPr>
              <w:t>第二款</w:t>
            </w:r>
            <w:r>
              <w:rPr>
                <w:rFonts w:ascii="仿宋_GB2312" w:hAnsi="宋体" w:eastAsia="仿宋_GB2312" w:cs="Times New Roman"/>
                <w:color w:val="000000" w:themeColor="text1"/>
                <w:kern w:val="0"/>
                <w:szCs w:val="21"/>
                <w14:textFill>
                  <w14:solidFill>
                    <w14:schemeClr w14:val="tx1"/>
                  </w14:solidFill>
                </w14:textFill>
              </w:rPr>
              <w:t>申请人以欺骗、贿赂等不正当手段获准房地产估价师注册许可的，应当予以撤销。</w:t>
            </w:r>
          </w:p>
          <w:p>
            <w:pPr>
              <w:spacing w:line="240" w:lineRule="auto"/>
              <w:rPr>
                <w:color w:val="000000" w:themeColor="text1"/>
                <w14:textFill>
                  <w14:solidFill>
                    <w14:schemeClr w14:val="tx1"/>
                  </w14:solidFill>
                </w14:textFill>
              </w:rPr>
            </w:pP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国务院建设主管部门撤销其注册，3年内不得再次申请注册，并由县级以上地方人民政府建设（房地产）主管部门处以罚款，其中没有违法所得的，处以3千元以下罚款，有违法所得的，处以违法所得1倍以下且不超过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国务院建设主管部门撤销其注册，3年内不得再次申请注册，并由县级以上地方人民政府建设（房地产）主管部门处以罚款，其中没有违法所得的，处以3千元以上6千元以下罚款，有违法所得的，处以违法所得1倍以上2倍以下且不超过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国务院建设主管部门撤销其注册，3年内不得再次申请注册，并由县级以上地方人民政府建设（房地产）主管部门处以罚款，其中没有违法所得的，处以6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269</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未经注册，擅自以注册房地产估价师名义从事房地产估价活动的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《注册房地产估价师管理办法》第十九条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《注册房地产估价师管理办法》第三十六条：</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规定，未经注册，擅自以注册房地产估价师名义从事房地产估价活动的，所签署的估价报告无效，由县级以上地方人民政府建设（房地产）主管部门给予警告，责令停止违法活动，并可处以1万元以上3万元以下的罚款；造成损失的，依法承担赔偿责任。</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第十九条　取得执业资格的人员，应当受聘于一个具有房地产估价机构资质的单位，经注册后方可从事房地产估价执业活动。</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给予警告，责令停止违法活动，并可处以1万元以上1.5万元以下的罚款。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给予警告，责令停止违法活动，并可处以1.5万元以上2.5万元以下的罚款。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给予警告，责令停止违法活动，并可处以2.5万元以上3万元以下的罚款。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270</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注册房地产估价师未办理变更注册仍执业的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《注册房地产估价师管理办法》第十二条第一款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《注册房地产估价师管理办法》第三十七条：</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违反本办法规定，未办理变更注册仍执业的，由县级以上地方人民政府建设（房地产）主管部门责令限期改正；逾期不改正的，可处以5000元以下的罚款。</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第十二条第一款注册房地产估价师变更执业单位，应当与原聘用单位解除劳动合同，并按本办法第八条规定的程序办理变更注册手续，变更注册后延续原注册有效期。</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责令限期改正；逾期不改正的可处以2千5百元以下的罚款。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责令限期改正；逾期不改正的可处以2千5百元罚款。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责令限期改正；逾期不改正的可处以2千5百元以上5千元以下的罚款。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271</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不履行注册房地产估价师义务</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《注册房地产估价师管理办法》第二十六条第一款第（一）项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（一）不履行注册房地产估价师义务；</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272</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在执业过程中，索贿、受贿或者谋取合同约定费用外的其他利益</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《注册房地产估价师管理办法》第二十六条第一款第（二）项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（二）在执业过程中，索贿、受贿或者谋取合同约定费用外的其他利益；</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索贿、受贿或者谋取合同约定费用外的其他利益价值5千元以下的。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索贿、受贿或者谋取合同约定费用外的其他利益价值5千元以上1万元以下的。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索贿、受贿或者谋取合同约定费用外的其他利益价值1万元以上的。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273</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在执业过程中实施商业贿赂</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《注册房地产估价师管理办法》第二十六条第一款第（三）项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（三）在执业过程中实施商业贿赂；</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实施商业贿赂价值5千元以下的。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实施商业贿赂价值5千元以上1万元以下的。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实施商业贿赂价值1万元以上的。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274</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签署有虚假记载、误导性陈述或者重大遗漏的估价报告</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《注册房地产估价师管理办法》第二十六条第一款第（四）项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（四）签署有虚假记载、误导性陈述或者重大遗漏的估价报告；</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275</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在估价报告中隐瞒或者歪曲事实</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《注册房地产估价师管理办法》第二十六条第一款第（五）项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（五）在估价报告中隐瞒或者歪曲事实；</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276</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允许他人以自己的名义从事房地产估价业务</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《注册房地产估价师管理办法》第二十六条第一款第（六）项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（六）允许他人以自己的名义从事房地产估价业务；</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允许他人以自己的名义从事房地产估价业务1次的。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允许他人以自己的名义从事房地产估价业务2次的。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允许他人以自己的名义从事房地产估价业务3次以上的。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277</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同时在2个或者2个以上房地产估价机构执业</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《注册房地产估价师管理办法》第二十六条第一款第（七）项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（七）同时在2个或者2个以上房地产估价机构执业；</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同时在2个房地产估价机构执业的。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同时在3个房地产估价机构执业的。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同时在4个以上房地产估价机构执业的。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278</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以个人名义承揽房地产估价业务</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《注册房地产估价师管理办法》第二十六条第一款第（八）项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widowControl/>
              <w:spacing w:line="240" w:lineRule="auto"/>
              <w:textAlignment w:val="center"/>
              <w:rPr>
                <w:color w:val="000000" w:themeColor="text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（八）以个人名义承揽房地产估价业务；</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以个人名义承揽房地产估价业务1次的。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以个人名义承揽房地产估价业务2次的。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以个人名义承揽房地产估价业务3次以上的。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279</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涂改、出租、出借或者以其他形式非法转让注册证书</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《注册房地产估价师管理办法》第二十六条第一款第（九）项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（九）涂改、出租、出借或者以其他形式非法转让注册证书；</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280</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超出聘用单位业务范围从事房地产估价活动</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《注册房地产估价师管理办法》第二十六条第一款第（十）项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（十）超出聘用单位业务范围从事房地产估价活动；</w:t>
            </w:r>
          </w:p>
          <w:p>
            <w:pPr>
              <w:spacing w:line="240" w:lineRule="auto"/>
              <w:rPr>
                <w:color w:val="000000" w:themeColor="text1"/>
                <w14:textFill>
                  <w14:solidFill>
                    <w14:schemeClr w14:val="tx1"/>
                  </w14:solidFill>
                </w14:textFill>
              </w:rPr>
            </w:pP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281</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严重损害他人利益、名誉的行为</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《注册房地产估价师管理办法》第二十六条第一款第（十一）项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（十一）严重损害他人利益、名誉的行为；</w:t>
            </w:r>
          </w:p>
          <w:p>
            <w:pPr>
              <w:spacing w:line="240" w:lineRule="auto"/>
              <w:rPr>
                <w:color w:val="000000" w:themeColor="text1"/>
                <w14:textFill>
                  <w14:solidFill>
                    <w14:schemeClr w14:val="tx1"/>
                  </w14:solidFill>
                </w14:textFill>
              </w:rPr>
            </w:pP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282</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注册房地产估价师有法律、法规禁止的其他行为的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《注册房地产估价师管理办法》第二十六条第一款第（十二）项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widowControl/>
              <w:spacing w:line="240" w:lineRule="auto"/>
              <w:textAlignment w:val="center"/>
              <w:rPr>
                <w:color w:val="000000" w:themeColor="text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（十二）法律、法规禁止的其他行为。</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283</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注册房地产估价师或者其聘用单位未按照要求提供房地产估价师信用档案信息的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《注册房地产估价师管理办法》第三十二条第一款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《注册房地产估价师管理办法》第三十九条</w:t>
            </w:r>
          </w:p>
          <w:p>
            <w:pPr>
              <w:widowControl/>
              <w:spacing w:line="0" w:lineRule="atLeas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规定，注册房地产估价师或者其聘用单位未按照要求提供房地产估价师信用档案信息的，由县级以上地方人民政府建设（房地产）主管部门责令限期改正；逾期未改正的，可处以1千元以上1万元以下的罚款。</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第三十二条第一款注册房地产估价师及其聘用单位应当按照要求，向注册机关提供真实、准确、完整的注册房地产估价师信用档案信息。</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责令限期改正；逾期未改正，超出规定日期1个月以下。</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可处以1千元罚款。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责令限期改正；逾期未改正，超出规定日期1个月以上3个月以下。</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可处以1千元以上5千元以下罚款。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责令限期改正；逾期未改正，超出规定日期3个月以上。</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9"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284</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以欺骗、贿赂等不正当手段取得房地产估价机构资质的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《房地产估价机构管理办法》第四十一条第二款</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 xml:space="preserve">《房地产估价机构管理办法》（建设部令第142）第四十六条 </w:t>
            </w:r>
          </w:p>
          <w:p>
            <w:pPr>
              <w:widowControl/>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以欺骗、贿赂等不正当手段取得房地产估价机构资质的，由资质许可机关给予警告，并处1万元以上3万元以下的罚款，申请人3年内不得再次申请房地产估价机构资质。</w:t>
            </w:r>
          </w:p>
          <w:p>
            <w:pPr>
              <w:widowControl/>
              <w:spacing w:line="240" w:lineRule="auto"/>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第四十一条</w:t>
            </w:r>
            <w:r>
              <w:rPr>
                <w:rFonts w:hint="eastAsia" w:ascii="仿宋_GB2312" w:hAnsi="宋体" w:eastAsia="仿宋_GB2312" w:cs="Times New Roman"/>
                <w:color w:val="000000" w:themeColor="text1"/>
                <w:kern w:val="0"/>
                <w:szCs w:val="21"/>
                <w14:textFill>
                  <w14:solidFill>
                    <w14:schemeClr w14:val="tx1"/>
                  </w14:solidFill>
                </w14:textFill>
              </w:rPr>
              <w:t>第二款</w:t>
            </w:r>
          </w:p>
          <w:p>
            <w:pPr>
              <w:widowControl/>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"https://baike.baidu.com/item/%E6%88%BF%E5%9C%B0%E4%BA%A7%E4%BC%B0%E4%BB%B7%E6%9C%BA%E6%9E%84/6224909"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房地产估价机构</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以欺骗、贿赂等不正当手段取得房地产估价机构资质的，应当予以撤销。</w:t>
            </w:r>
          </w:p>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给予警告,处1万元以上1.5万元以下的罚款，申请人3年内不得再次申请房地产估价机构资质。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9"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textAlignment w:val="center"/>
              <w:rPr>
                <w:color w:val="000000" w:themeColor="text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color w:val="000000" w:themeColor="text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color w:val="000000" w:themeColor="text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给予警告,处1.5万元以上2万元以下的罚款，申请人3年内不得再次申请房地产估价机构资质。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9"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给予警告,处2万元以上3万元以下的罚款，申请人3年内不得再次申请房地产估价机构资质。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285</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未取得房地产估价机构资质从事房地产估价活动或者超越资质等级承揽估价业务的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《房地产估价机构管理办法》第二十五条第一款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建设部令第142）第四十七条未取得房地产估价机构资质从事房地产估价活动或者超越资质等级承揽估价业务的，出具的估价报告无效，由县级以上地方人民政府房地产主管部门给予警告，责令限期改正，并处1万元以上3万元以下的罚款；造成当事人损失的，依法承担赔偿责任。</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第二十五条第一款从事房地产估价活动的机构，应当依法取得房地产估价机构资质，并在其资质等级许可范围内从事估价业务。</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286</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房地产估价机构的名称、法定代表人或者执行合伙人、注册资本或者出资额、组织形式、住所等事项发生变更，在工商行政管理部门办理变更手续后30日内，未到资质许可机关办理资质证书变更手续的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《房地产估价机构管理办法》第十七条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《房地产估价机构管理办法》第四十八条：</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违反本办法第十七条规定，房地产估价机构不及时办理资质证书变更手续的，由资质许可机关责令限期办理；逾期不办理的，可处1万元以下的罚款。</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第十七条 房地产估价机构的名称、法定代表人或者执行合伙人、组织形式、住所等事项发生变更的，应当在工商行政管理部门办理变更手续后30日内，到资质许可机关办理资质证书变更手续。</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责令限期办理，逾期不办理，超过规定日期1月以下办理变更手续的。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可处0.3万元以下的罚款。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textAlignment w:val="center"/>
              <w:rPr>
                <w:color w:val="000000" w:themeColor="text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color w:val="000000" w:themeColor="text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color w:val="000000" w:themeColor="text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责令限期办理，逾期不办理，超过规定日期1月以上2月以下办理变更手续的。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可处0.3万元以上0.7万元以下的罚款。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责令限期办理，逾期不办理，超过规定日期1月以上办理变更手续的。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可处0.7万元以上1万元以下的罚款。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287</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二、三级资质房地产估价机构设立分支机构的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《房地产估价机构管理办法》第二十条第一款</w:t>
            </w: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《房地产估价机构管理办法》第四十九条第一款第一项：</w:t>
            </w:r>
          </w:p>
          <w:p>
            <w:pPr>
              <w:widowControl/>
              <w:spacing w:line="0" w:lineRule="atLeas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有下列行为之一的，由县级以上地方人民政府房地产主管部门给予警告，责令限期改正，并可处1万元以上2万元以下的罚款：</w:t>
            </w:r>
          </w:p>
          <w:p>
            <w:pPr>
              <w:widowControl/>
              <w:numPr>
                <w:ilvl w:val="0"/>
                <w:numId w:val="2"/>
              </w:numPr>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违反本办法第二十条第一款规定设立分支机构的。</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第二十条第一款一级资质</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"https://baike.baidu.com/item/%E6%88%BF%E5%9C%B0%E4%BA%A7%E4%BC%B0%E4%BB%B7%E6%9C%BA%E6%9E%84/6224909"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房地产估价机构</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可以按照本办法第二十一条的规定设立分支机构。二、三级资质房地产估价机构不得设立分支机构。</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设立1个分支机构的。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给予警告，责令限期改正，并可处1万元以上1.3万元以下的罚款。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设立2个分支机构的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给予警告，责令限期改正，并可处1.3万元以上1.7万元以下的罚款。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设立3个分支机构的。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给予警告，责令限期改正，并可处1.7万元以上2万元以下的罚款。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288</w:t>
            </w:r>
          </w:p>
        </w:tc>
        <w:tc>
          <w:tcPr>
            <w:tcW w:w="1440"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分支机构不具备以下条件：</w:t>
            </w:r>
          </w:p>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（一）名称采用“房地产估价机构名称+分支机构所在地行政区划名+分公司（分所）”的形式；</w:t>
            </w:r>
          </w:p>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（二）分支机构负责人应当是注册后从事房地产估价工作3年以上并无不良执业记录的专职注册房地产估价师；</w:t>
            </w:r>
          </w:p>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（三）在分支机构所在地有3名以上专职注册房地产估价师；</w:t>
            </w:r>
          </w:p>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（四）有固定的经营服务场所；</w:t>
            </w:r>
          </w:p>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（五）估价质量管理、估价档案管理、财务管理等各项内部管理制度健全。</w:t>
            </w:r>
          </w:p>
        </w:tc>
        <w:tc>
          <w:tcPr>
            <w:tcW w:w="1115" w:type="dxa"/>
            <w:gridSpan w:val="3"/>
            <w:vMerge w:val="restart"/>
            <w:tcBorders>
              <w:tl2br w:val="nil"/>
              <w:tr2bl w:val="nil"/>
            </w:tcBorders>
            <w:vAlign w:val="center"/>
          </w:tcPr>
          <w:p>
            <w:pPr>
              <w:spacing w:line="240" w:lineRule="auto"/>
              <w:jc w:val="left"/>
              <w:rPr>
                <w:rFonts w:ascii="宋体" w:hAnsi="宋体" w:cs="宋体"/>
                <w:color w:val="000000" w:themeColor="text1"/>
                <w:spacing w:val="8"/>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《房地产估价机构管理办法》第二十一条第一款</w:t>
            </w:r>
          </w:p>
        </w:tc>
        <w:tc>
          <w:tcPr>
            <w:tcW w:w="4255"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《房地产估价机构管理办法》第四十九条第一款第二项：</w:t>
            </w:r>
          </w:p>
          <w:p>
            <w:pPr>
              <w:widowControl/>
              <w:spacing w:line="240" w:lineRule="auto"/>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有下列行为之一的，由县级以上地方人民政府房地产主管部门给予警告，责令限期改正，并可处1万元以上2万元以下的罚款：</w:t>
            </w:r>
          </w:p>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违反本办法第二十一条规定设立分支机构的。</w:t>
            </w:r>
          </w:p>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第二十一条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分支机构应当具备下列条件：</w:t>
            </w:r>
          </w:p>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（一）名称采用“房地产估价机构名称+分支机构所在地行政区划名+分公司（分所）”的形式；</w:t>
            </w:r>
          </w:p>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（二）分支机构负责人应当是注册后从事房地产估价工作3年以上并无不良执业记录的专职注册房地产估价师；</w:t>
            </w:r>
          </w:p>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（三）在分支机构所在地有3名以上专职注册房地产估价师；</w:t>
            </w:r>
          </w:p>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（四）有固定的经营服务场所；</w:t>
            </w:r>
          </w:p>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（五）估价质量管理、估价档案管理、财务管理等各项内部管理制度健全。</w:t>
            </w:r>
          </w:p>
          <w:p>
            <w:pPr>
              <w:widowControl/>
              <w:spacing w:line="240" w:lineRule="auto"/>
              <w:jc w:val="left"/>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有1个条件不具备的。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给予警告，责令限期改正，并可处1万元以上1.3万元以下的罚款。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center"/>
              <w:rPr>
                <w:rFonts w:ascii="仿宋_GB2312" w:hAnsi="宋体" w:eastAsia="仿宋_GB2312"/>
                <w:strike/>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有2个条件不具备的。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给予警告，责令限期改正，并可处1.3万元以上1.7万元以下的罚款。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center"/>
              <w:rPr>
                <w:rFonts w:ascii="仿宋_GB2312" w:hAnsi="宋体" w:eastAsia="仿宋_GB2312"/>
                <w:strike/>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有3个以上条件不具备的。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给予警告，责令限期改正，并可处1.7万元以上2万元以下的罚款。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289</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新设立的分支机构，自领取分支机构营业执照之日起30日内不备案的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《房地产估价机构管理办法》第二十二条第一款</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《房地产估价机构管理办法》第四十九条第三项：有下列行为之一的，由县级以上地方人民政府房地产主管部门给予警告，责令限期改正，并可处1万元以上2万元以下的罚款：</w:t>
            </w:r>
          </w:p>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违反本办法第二十二条第一款规定，新设立的分支机构不备案的。</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第二十二条第一款新设立的分支机构，应当自领取分支机构营业执照之日起30日内，到分支机构工商注册所在地的省、自治区人民政府住房城乡建设主管部门、直辖市人民政府房地产主管部门备案。</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超过规定日期1个月以下备案的。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给予警告，责令限期改正，并可处1万元以上1.3万元以下的罚款。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strike/>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trike/>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超过规定日期1个月以上2个月以下备案的。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给予警告，责令限期改正，并可处1.3万元以上1.7万元以下的罚款。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strike/>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trike/>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超过规定日期2个月以上备案的。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给予警告，责令限期改正，并可处1.7万元以上2万元以下的罚款。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290</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房地产估价业务不由房地产估价机构统一接受委托，统一收取费用</w:t>
            </w:r>
          </w:p>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房地产估价师以个人名义承揽估价业务或分支机构不以设立该分支机构的房地产估价机构名义承揽估价业务</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《房地产估价机构管理办法》第二十六条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《房地产估价机构管理办法》第五十条第一款第一项：</w:t>
            </w:r>
          </w:p>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有下列行为之一的，由县级以上地方人民政府房地产主管部门给予警告，责令限期改正；逾期未改正的，可处5千元以上2万元以下的罚款；给当事人造成损失的，依法承担赔偿责任：</w:t>
            </w:r>
          </w:p>
          <w:p>
            <w:pPr>
              <w:widowControl/>
              <w:spacing w:line="240" w:lineRule="auto"/>
              <w:ind w:firstLine="105" w:firstLineChars="5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（一）违反本办法第二十六条规定承揽业务的</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 房地产估价业务应当由房地产估价机构统一接受委托，统一收取费用。</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房地产估价师不得以个人名义承揽估价业务，分支机构应当以设立该分支机构的房地产估价机构名义承揽估价业务。</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警告，责令限期改正，违法所得1万元以下。</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经责令限期改正，逾期未改正，违法所得1万元以上2万元以下。</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经责令限期改正，逾期未改正，违法所得2万元以上。</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291</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未经委托人书面同意擅自转让受托的估价业务的，逾期未改正的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《房地产估价机构管理办法》第二十九条第一款</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《房地产估价机构管理办法》第五十条第二项：</w:t>
            </w:r>
          </w:p>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有下列行为之一的，由县级以上地方人民政府房地产主管部门给予警告，责令限期改正；逾期未改正的，可处5千元以上2万元以下的罚款；给当事人造成损失的，依法承担赔偿责任：</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（二）违反本办法第二十九条第一款规定，擅自转让受托的估价业务的；</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第二十九条第一款</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"https://baike.baidu.com/item/%E6%88%BF%E5%9C%B0%E4%BA%A7%E4%BC%B0%E4%BB%B7%E6%9C%BA%E6%9E%84/6224909"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房地产估价机构</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未经委托人书面同意，不得转让受托的估价业务。</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292</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分支机构不以设立该分支机构的房地产估价机构的名义出具估价报告或不加盖该房地产估价机构公章</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《房地产估价机构管理办法》第二十条第二款</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《房地产估价机构管理办法》第五十条第三款：</w:t>
            </w:r>
          </w:p>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有下列行为之一的，由县级以上地方人民政府房地产主管部门给予警告，责令限期改正；逾期未改正的，可处5千元以上2万元以下的罚款；给当事人造成损失的，依法承担赔偿责任：</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（三）违反本办法第二十条第二款、第二十九条第二款、第三十二条规定出具估价报告的。</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第二十条</w:t>
            </w:r>
            <w:r>
              <w:rPr>
                <w:rFonts w:hint="eastAsia" w:ascii="仿宋_GB2312" w:hAnsi="宋体" w:eastAsia="仿宋_GB2312" w:cs="Times New Roman"/>
                <w:color w:val="000000" w:themeColor="text1"/>
                <w:kern w:val="0"/>
                <w:szCs w:val="21"/>
                <w14:textFill>
                  <w14:solidFill>
                    <w14:schemeClr w14:val="tx1"/>
                  </w14:solidFill>
                </w14:textFill>
              </w:rPr>
              <w:t>第二款</w:t>
            </w:r>
            <w:r>
              <w:rPr>
                <w:rFonts w:ascii="仿宋_GB2312" w:hAnsi="宋体" w:eastAsia="仿宋_GB2312" w:cs="Times New Roman"/>
                <w:color w:val="000000" w:themeColor="text1"/>
                <w:kern w:val="0"/>
                <w:szCs w:val="21"/>
                <w14:textFill>
                  <w14:solidFill>
                    <w14:schemeClr w14:val="tx1"/>
                  </w14:solidFill>
                </w14:textFill>
              </w:rPr>
              <w:t>分支机构应当以设立该分支机构的房地产估价机构的名义出具</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"https://baike.baidu.com/item/%E4%BC%B0%E4%BB%B7%E6%8A%A5%E5%91%8A/7359509"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估价报告</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，并加盖该房地产估价机构公章。</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经责令限期改正，逾期不改正，从事违法行为，逾期1个月以下的。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strike/>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trike/>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经责令限期改正，逾期不改正，从事违法行为，逾期1个月以上2个月以下的。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strike/>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trike/>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经责令限期改正，逾期不改正，从事违法行为，逾期2个月以上的。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293</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未经委托人书面同意，房地产估价机构与其他房地产估价机构合作完成估价业务，以合作双方的名义共同出具估价报告，逾期未改正的</w:t>
            </w:r>
          </w:p>
        </w:tc>
        <w:tc>
          <w:tcPr>
            <w:tcW w:w="1115" w:type="dxa"/>
            <w:gridSpan w:val="3"/>
            <w:vMerge w:val="restart"/>
            <w:tcBorders>
              <w:tl2br w:val="nil"/>
              <w:tr2bl w:val="nil"/>
            </w:tcBorders>
            <w:vAlign w:val="center"/>
          </w:tcPr>
          <w:p>
            <w:pPr>
              <w:spacing w:line="240" w:lineRule="auto"/>
              <w:rPr>
                <w:rFonts w:ascii="宋体" w:hAnsi="宋体" w:cs="宋体"/>
                <w:color w:val="000000" w:themeColor="text1"/>
                <w:spacing w:val="8"/>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《房地产估价机构管理办法》第二十九条第二款</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《房地产估价机构管理办法》第五十条第三款：</w:t>
            </w:r>
          </w:p>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有下列行为之一的，由县级以上地方人民政府房地产主管部门给予警告，责令限期改正；逾期未改正的，可处5千元以上2万元以下的罚款；给当事人造成损失的，依法承担赔偿责任：</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（三）违反本办法第二十条第二款、第二十九条第二款、第三十二条规定出具估价报告的。</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第二十九条</w:t>
            </w:r>
            <w:r>
              <w:rPr>
                <w:rFonts w:hint="eastAsia" w:ascii="仿宋_GB2312" w:hAnsi="宋体" w:eastAsia="仿宋_GB2312" w:cs="Times New Roman"/>
                <w:color w:val="000000" w:themeColor="text1"/>
                <w:kern w:val="0"/>
                <w:szCs w:val="21"/>
                <w14:textFill>
                  <w14:solidFill>
                    <w14:schemeClr w14:val="tx1"/>
                  </w14:solidFill>
                </w14:textFill>
              </w:rPr>
              <w:t>第二款</w:t>
            </w:r>
            <w:r>
              <w:rPr>
                <w:rFonts w:ascii="仿宋_GB2312" w:hAnsi="宋体" w:eastAsia="仿宋_GB2312" w:cs="Times New Roman"/>
                <w:color w:val="000000" w:themeColor="text1"/>
                <w:kern w:val="0"/>
                <w:szCs w:val="21"/>
                <w14:textFill>
                  <w14:solidFill>
                    <w14:schemeClr w14:val="tx1"/>
                  </w14:solidFill>
                </w14:textFill>
              </w:rPr>
              <w:t>经委托人书面同意，房地产估价机构可以与其他房地产估价机构合作完成估价业务，以合作双方的名义共同出具估价报告。</w:t>
            </w:r>
          </w:p>
          <w:p>
            <w:pPr>
              <w:widowControl/>
              <w:spacing w:line="240" w:lineRule="auto"/>
              <w:rPr>
                <w:rFonts w:ascii="仿宋_GB2312" w:hAnsi="宋体" w:eastAsia="仿宋_GB2312"/>
                <w:strike/>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strike/>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trike/>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strike/>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trike/>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294</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房地产估价报告不以房地产估价机构出具，或不加盖房地产估价机构公章，或没有至少2名专职注册房地产估价师签字的，逾期未改正的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《房地产估价机构管理办法》第三十二条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《房地产估价机构管理办法》第五十条第三款：</w:t>
            </w:r>
          </w:p>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有下列行为之一的，由县级以上地方人民政府房地产主管部门给予警告，责令限期改正；逾期未改正的，可处5千元以上2万元以下的罚款；给当事人造成损失的，依法承担赔偿责任：</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（三）违反本办法第二十条第二款、第二十九条第二款、第三十二条规定出具估价报告的。</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《房地产估价机构管理办法》第三十二条房地产估价报告应当由房地产估价机构出具，加盖房地产估价机构公章，并有至少2名专职注册房地产估价师签字。</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经责令限期改正，逾期不改正，从事违法行为，逾期1个月以下的。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经责令限期改正，逾期不改正，从事违法行为，逾期1个月以上2个月以下的。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经责令限期改正，逾期不改正，从事违法行为，逾期2个月以上的。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295</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房地产估价机构及执行房地产估价业务的估价人员与委托人或者估价业务相对人有利害关系的，应当回避未回避的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《房地产估价机构管理办法》第二十七条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《房地产估价机构管理办法》第五十一条：</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第二十七条规定，房地产估价机构及其估价人员应当回避未回避的，由县级以上地方人民政府房地产主管部门给予警告，责令限期改正，并可处1万元以下的罚款；给当事人造成损失的，依法承担赔偿责任。</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第二十七条 房地产估价机构及执行房地产估价业务的估价人员与委托人或者估价业务相对人有利害关系的，应当回避。</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给予警告，责令限期改正，并可处0.3万元以下的罚款。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strike/>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trike/>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给予警告，责令限期改正，并可处0.3万元以上0.7万元以下的罚款。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strike/>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trike/>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给予警告，责令限期改正，并可处0.7万元以上1万元以下的罚款。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296</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涂改、倒卖、出租、出借或者以其他形式非法转让资质证书</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《房地产估价机构管理办法》第三十三条第一款第（一）项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《房地产估价机构管理办法》第五十三条：</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（一）涂改、倒卖、出租、出借或者以其他形式非法转让资质证书；</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297</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超越资质等级业务范围承接房地产估价业务</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《房地产估价机构管理办法》第三十三条第一款第（二）项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《房地产估价机构管理办法》第五十三条：</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widowControl/>
              <w:spacing w:line="240" w:lineRule="auto"/>
              <w:textAlignment w:val="center"/>
              <w:rPr>
                <w:color w:val="000000" w:themeColor="text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（二）超越资质等级业务范围承接房地产估价业务；</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298</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以迎合高估或者低估要求、给予回扣、恶意压低收费等方式进行不正当竞争</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《房地产估价机构管理办法》第三十三条第一款第（三）项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《房地产估价机构管理办法》第五十三条：</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（三）以迎合高估或者低估要求、给予回扣、恶意压低收费等方式进行</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"https://baike.baidu.com/item/%E4%B8%8D%E6%AD%A3%E5%BD%93%E7%AB%9E%E4%BA%89/5957106"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不正当竞争</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strike/>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trike/>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strike/>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trike/>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299</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违反房地产估价规范和标准</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《房地产估价机构管理办法》第三十三条第一款第（四）项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《房地产估价机构管理办法》第五十三条：</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widowControl/>
              <w:spacing w:line="240" w:lineRule="auto"/>
              <w:textAlignment w:val="center"/>
              <w:rPr>
                <w:color w:val="000000" w:themeColor="text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（四）违反房地产估价规范和标准；</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300</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房地产估价机构出具有虚假记载、误导性陈述或者重大遗漏的估价报告</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《房地产估价机构管理办法》第三十三条第一款第（五）项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《房地产估价机构管理办法》第五十三条：</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（五）出具有虚假记载、误导性陈述或者重大遗漏的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"https://baike.baidu.com/item/%E4%BC%B0%E4%BB%B7%E6%8A%A5%E5%91%8A/7359509"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估价报告</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trike/>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trike/>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301</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房地产估价机构</w:t>
            </w:r>
            <w:r>
              <w:rPr>
                <w:rFonts w:hint="eastAsia" w:ascii="仿宋_GB2312" w:hAnsi="宋体" w:eastAsia="仿宋_GB2312" w:cs="Times New Roman"/>
                <w:color w:val="000000" w:themeColor="text1"/>
                <w:kern w:val="0"/>
                <w:szCs w:val="21"/>
                <w14:textFill>
                  <w14:solidFill>
                    <w14:schemeClr w14:val="tx1"/>
                  </w14:solidFill>
                </w14:textFill>
              </w:rPr>
              <w:t>擅自设立分支机构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《房地产估价机构管理办法》第三十三条第一款第（六）项</w:t>
            </w: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《房地产估价机构管理办法》第五十三条：</w:t>
            </w:r>
          </w:p>
          <w:p>
            <w:pPr>
              <w:widowControl/>
              <w:spacing w:line="0" w:lineRule="atLeas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（六）擅自设立分支机构；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擅自设立1个分支机构的。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擅自设立2个分支机构的。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擅自设立3个分支机构的。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302</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房地产估价机构未经委托人书面同意，擅自转让受托的估价业务</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《房地产估价机构管理办法》第三十三条第一款第（七）项</w:t>
            </w: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《房地产估价机构管理办法》第五十三条</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（七）未经委托人书面同意，擅自转让受托的估价业务；</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303</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骗取、涂改、出租、出借、转让、出卖房地产开发资质证书的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rPr>
                <w:rFonts w:ascii="Arial" w:hAnsi="Arial" w:eastAsia="仿宋_GB2312" w:cs="Arial"/>
                <w:color w:val="000000" w:themeColor="text1"/>
                <w:spacing w:val="8"/>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《房地产开发企业资质管理规定》第二十一条，第十三条第一款，《安徽省城市房地产开发经营管理办法》第二十八条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《房地产开发企业资质管理规定》第二十一条企业有下列行为之一的，由原资质审批部门公告资质证书作废，收回证书，并可处以1万元以上3万元以下的罚款：  （一）隐瞒真实情况、弄虚作假骗取资质证书的； （二）涂改、出租、出借、转让、出卖资质证书的。                             《安徽省城市房地产开发经营管理办法》第二十八条房地产开发企业转让、出借资质等级证书或者以其他方式允许他人以本企业的名义从事房地产开发经营活动的，由县级以上地方人民政府房地产开发主管部门责令改正、报请颁发资质等级证书的部门降低资质等级或者吊销资质等级证书</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第十三条第一款任何单位和个人不得涂改、出租、出借、转让、出卖资质证书。</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原资质审批部门公告资质证书作废，收回证书，并可处以1万元的罚款。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原资质审批部门公告资质证书作废，收回证书，并可处以1万元以上2万元以下的罚款。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原资质审批部门公告资质证书作废，收回证书，并可处以2万元以上3万元以下的罚款。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304</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未取得资质等级证书或者超越资质等级从事房地产开发经营的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《城市房地产开发经营管理条例》</w:t>
            </w:r>
            <w:r>
              <w:rPr>
                <w:rFonts w:ascii="仿宋_GB2312" w:hAnsi="宋体" w:eastAsia="仿宋_GB2312" w:cs="Times New Roman"/>
                <w:color w:val="000000" w:themeColor="text1"/>
                <w:kern w:val="0"/>
                <w:szCs w:val="21"/>
                <w14:textFill>
                  <w14:solidFill>
                    <w14:schemeClr w14:val="tx1"/>
                  </w14:solidFill>
                </w14:textFill>
              </w:rPr>
              <w:t>第三十四条</w:t>
            </w:r>
            <w:r>
              <w:rPr>
                <w:rFonts w:hint="eastAsia" w:ascii="仿宋_GB2312" w:hAnsi="宋体" w:eastAsia="仿宋_GB2312" w:cs="Times New Roman"/>
                <w:color w:val="000000" w:themeColor="text1"/>
                <w:kern w:val="0"/>
                <w:szCs w:val="21"/>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房地产开发企业资质管理规定</w:t>
            </w:r>
            <w:r>
              <w:rPr>
                <w:rFonts w:hint="eastAsia" w:ascii="仿宋_GB2312" w:hAnsi="宋体" w:eastAsia="仿宋_GB2312" w:cs="Times New Roman"/>
                <w:color w:val="000000" w:themeColor="text1"/>
                <w:kern w:val="0"/>
                <w:szCs w:val="21"/>
                <w14:textFill>
                  <w14:solidFill>
                    <w14:schemeClr w14:val="tx1"/>
                  </w14:solidFill>
                </w14:textFill>
              </w:rPr>
              <w:t>》第十九条，第二十条；</w:t>
            </w:r>
          </w:p>
          <w:p>
            <w:pPr>
              <w:widowControl/>
              <w:spacing w:line="240" w:lineRule="auto"/>
              <w:rPr>
                <w:rFonts w:ascii="仿宋_GB2312" w:hAnsi="宋体" w:eastAsia="仿宋_GB2312"/>
                <w:color w:val="000000" w:themeColor="text1"/>
                <w:kern w:val="0"/>
                <w:szCs w:val="21"/>
                <w14:textFill>
                  <w14:solidFill>
                    <w14:schemeClr w14:val="tx1"/>
                  </w14:solidFill>
                </w14:textFill>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《城市房地产开发经营管理条例》</w:t>
            </w:r>
            <w:r>
              <w:rPr>
                <w:rFonts w:ascii="仿宋_GB2312" w:hAnsi="宋体" w:eastAsia="仿宋_GB2312" w:cs="Times New Roman"/>
                <w:color w:val="000000" w:themeColor="text1"/>
                <w:kern w:val="0"/>
                <w:szCs w:val="21"/>
                <w14:textFill>
                  <w14:solidFill>
                    <w14:schemeClr w14:val="tx1"/>
                  </w14:solidFill>
                </w14:textFill>
              </w:rPr>
              <w:t>第三十四条未取得资质等级证书或者超越资质等级从事房地产开发经营的，由县级以上人民政府房地产开发主管部门责令限期改正，处5万元以上10万元以下的罚款；</w:t>
            </w:r>
            <w:r>
              <w:rPr>
                <w:rFonts w:hint="eastAsia" w:ascii="仿宋_GB2312" w:hAnsi="宋体" w:eastAsia="仿宋_GB2312" w:cs="Times New Roman"/>
                <w:color w:val="000000" w:themeColor="text1"/>
                <w:kern w:val="0"/>
                <w:szCs w:val="21"/>
                <w14:textFill>
                  <w14:solidFill>
                    <w14:schemeClr w14:val="tx1"/>
                  </w14:solidFill>
                </w14:textFill>
              </w:rPr>
              <w:t>逾期不改正的，由工商行政管理部门</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"https://baike.baidu.com/item/%E5%90%8A%E9%94%80%E8%90%A5%E4%B8%9A%E6%89%A7%E7%85%A7"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吊销营业执照</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w:t>
            </w:r>
          </w:p>
          <w:p>
            <w:pPr>
              <w:widowControl/>
              <w:spacing w:line="240" w:lineRule="auto"/>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房地产开发企业资质管理规定</w:t>
            </w:r>
            <w:r>
              <w:rPr>
                <w:rFonts w:hint="eastAsia" w:ascii="仿宋_GB2312" w:hAnsi="宋体" w:eastAsia="仿宋_GB2312" w:cs="Times New Roman"/>
                <w:color w:val="000000" w:themeColor="text1"/>
                <w:kern w:val="0"/>
                <w:szCs w:val="21"/>
                <w14:textFill>
                  <w14:solidFill>
                    <w14:schemeClr w14:val="tx1"/>
                  </w14:solidFill>
                </w14:textFill>
              </w:rPr>
              <w:t>》第十九条企业未取得资质证书从事房地产开发经营的，由县级以上地方人民政府房地产开发主管部门责令限期改正，处5万元以上10万元以下的罚款；逾期不改正的，由房地产开发主管部门提请工商行政管理部门吊销营业执照。</w:t>
            </w:r>
          </w:p>
          <w:p>
            <w:pPr>
              <w:widowControl/>
              <w:spacing w:line="240" w:lineRule="auto"/>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房地产开发企业资质管理规定</w:t>
            </w:r>
            <w:r>
              <w:rPr>
                <w:rFonts w:hint="eastAsia" w:ascii="仿宋_GB2312" w:hAnsi="宋体" w:eastAsia="仿宋_GB2312" w:cs="Times New Roman"/>
                <w:color w:val="000000" w:themeColor="text1"/>
                <w:kern w:val="0"/>
                <w:szCs w:val="21"/>
                <w14:textFill>
                  <w14:solidFill>
                    <w14:schemeClr w14:val="tx1"/>
                  </w14:solidFill>
                </w14:textFill>
              </w:rPr>
              <w:t>》第二十条企业超越资质等级从事房地产开发经营的，由县级以上地方人民政府房地产开发主管部门责令限期改正，处5万元以上10万元以下的罚款；逾期不改正的，由原资质审批部门吊销资质证书，并提请工商行政管理部门吊销营业执照。</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1"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textAlignment w:val="center"/>
              <w:rPr>
                <w:color w:val="000000" w:themeColor="text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color w:val="000000" w:themeColor="text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color w:val="000000" w:themeColor="text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责令限期改正，处6万元以上7万元以下的罚款。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责令限期改正，处7万元以上10万元以下的罚款。</w:t>
            </w:r>
          </w:p>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305</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企业开发建设的项目工程质量低劣，发生重大工程质量事故的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《房地产开发企业资质管理规定》第二十二条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《房地产开发企业资质管理规定》第二十二条 企业开发建设的项目工程质量低劣，发生重大工程质量事故的，由原资质审批部门降低资质等级；情节严重的吊销资质证书，并提请工商行政管理部门吊销营业执照。</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原资质审批部门降低资质等级。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情节严重的吊销资质证书，并提请工商行政管理部门吊销营业执照。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306</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房地产开发企业未按照规定发放《住宅质量保证书》和《住宅使用说明书》的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《房地产开发企业资质管理规定》第二十三条，《商品房销售管理办法》第三十二条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资质管理规定》第二十三条；企业在商品住宅销售中不按照规定发放《住宅质量保证书》和《住宅使用说明书》的，由原资质审批部门予以警告、责令限期改正、降低资质等级，并可处以1万元以上2万元以下的罚款。</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 xml:space="preserve">《商品房销售管理办法》第三十二条 </w:t>
            </w:r>
            <w:r>
              <w:rPr>
                <w:rFonts w:ascii="仿宋_GB2312" w:hAnsi="宋体" w:eastAsia="仿宋_GB2312" w:cs="Times New Roman"/>
                <w:color w:val="000000" w:themeColor="text1"/>
                <w:kern w:val="0"/>
                <w:szCs w:val="21"/>
                <w14:textFill>
                  <w14:solidFill>
                    <w14:schemeClr w14:val="tx1"/>
                  </w14:solidFill>
                </w14:textFill>
              </w:rPr>
              <w:t>销售商品住宅时，房地产开发企业应当根据《商品住宅实行质量保证书和住宅使用说明书制度的规定》（以下简称《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"https://baike.baidu.com/item/%E8%A7%84%E5%AE%9A/13020285"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规定</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》），向买受人提供《</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"https://baike.baidu.com/item/%E4%BD%8F%E5%AE%85%E8%B4%A8%E9%87%8F%E4%BF%9D%E8%AF%81%E4%B9%A6"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住宅质量保证书</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"https://baike.baidu.com/item/%E4%BD%8F%E5%AE%85%E4%BD%BF%E7%94%A8%E8%AF%B4%E6%98%8E%E4%B9%A6"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住宅使用说明书</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予以警告，责令限期改正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予以警告，责令限期改正，并可处以1万元以上1.5万元以下的罚款。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予以警告，责令限期改正、降低资质等级，并可处以1.5万元以上2万元以下的罚款。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307</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房地产开发企业不按照规定办理资质变更手续行为的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《房地产开发企业资质管理规定》第二十四条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《房地产开发企业资质管理规定》第二十四条 企业不按照规定办理变更手续的，由原资质审批部门予以警告、责令限期改正，并可处以5千元以上1万元以下的罚款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予以警告、责令限期改正，并可处5千元罚款。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予以警告，责令限期改正，并可处5千元以上7千5百元以下罚款。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予以警告，责令限期改正，并可处7千5百元以上1万元以下罚款。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308</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擅自预售商品房的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《商品房销售管理办法》（建设部令第88号）第六条第一款</w:t>
            </w: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b/>
                <w:bCs/>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《城市房地产开发经营管理条例》</w:t>
            </w:r>
            <w:r>
              <w:rPr>
                <w:rFonts w:ascii="仿宋_GB2312" w:hAnsi="宋体" w:eastAsia="仿宋_GB2312" w:cs="Times New Roman"/>
                <w:color w:val="000000" w:themeColor="text1"/>
                <w:kern w:val="0"/>
                <w:szCs w:val="21"/>
                <w14:textFill>
                  <w14:solidFill>
                    <w14:schemeClr w14:val="tx1"/>
                  </w14:solidFill>
                </w14:textFill>
              </w:rPr>
              <w:t>第三十六条 违反本条例规定，擅自预售商品房的，由县级以上人民政府房地产开发主管部门责令停止违法行为，没收违法所得，可以并处已收取的预付款1%以下的罚款</w:t>
            </w:r>
            <w:r>
              <w:rPr>
                <w:rFonts w:ascii="仿宋_GB2312" w:hAnsi="宋体" w:eastAsia="仿宋_GB2312" w:cs="Times New Roman"/>
                <w:b/>
                <w:bCs/>
                <w:color w:val="000000" w:themeColor="text1"/>
                <w:kern w:val="0"/>
                <w:szCs w:val="21"/>
                <w14:textFill>
                  <w14:solidFill>
                    <w14:schemeClr w14:val="tx1"/>
                  </w14:solidFill>
                </w14:textFill>
              </w:rPr>
              <w:t>。</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《商品房销售管理办法》第三十八条 违法法律、法规规定，擅自预售商品房的，责令停止违法行为，没收违法所得；收取预付款的，可以并处已收取的预付款1%以下的罚款；</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《城市商品房预售管理办法》第十三条 开发企业未取得《商品房预售许可证》预售商品房的，依照《城市房地产开发经营管理条例》第三十六条的规定处罚；</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《安徽省城市房地产交易管理条例》第三十六条 擅自预售商品房的，由市、县负责房地产交易的管理部门责令其限期补办预售许可手续；不符合条件预售的，责令其向购房者退还预售款，按有关法律、法规规定没收违法所得，可以并处已收取的预付款百分之一以下的罚款</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《商品房销售管理办法》（建设部令第88号）第六条第一款</w:t>
            </w:r>
            <w:r>
              <w:rPr>
                <w:rFonts w:ascii="仿宋_GB2312" w:hAnsi="宋体" w:eastAsia="仿宋_GB2312" w:cs="Times New Roman"/>
                <w:color w:val="000000" w:themeColor="text1"/>
                <w:kern w:val="0"/>
                <w:szCs w:val="21"/>
                <w14:textFill>
                  <w14:solidFill>
                    <w14:schemeClr w14:val="tx1"/>
                  </w14:solidFill>
                </w14:textFill>
              </w:rPr>
              <w:t>商品房预售实行预售许可制度。</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擅自预售商品房的5套以下的或收取预付款10万元以下的。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责令停止违法行为，没收违法所得；收取预付款的，可以并处已收取的预付款千分之三以下的罚款。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擅自预售商品房的5套以上10套以下的或收取预付款10万元以上50万元以下的。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责令停止违法行为，没收违法所得；收取预付款的，可以并处已收取的预付款千分之三以上千分之六以下的罚款。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擅自预售商品房的10套以上的或收取预付款50万元以上的。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责令停止违法行为，没收违法所得；收取预付款的，可以并处已收取的预付款千分之六以上百分之一以下的罚款。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309</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不按规定使用商品房预售款项的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《城市商品房预售管理办法》第十四条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《城市商品房预售管理办法》第十四条开发企业不按规定使用商品房预售款项的，由房地产管理部门责令限期纠正，并可处以违法所得三倍以下但不超过3万元的罚款。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不按规定使用商品房预售款项50万以下的。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责令限期纠正，并可处以违法所得1倍以下但不超过3万元的罚款。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不按规定使用商品房预售款项50万以上200万以下的。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责令限期纠正，并处以违法所得1倍以上2倍以下但不超过3万元的罚款。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不按规定使用商品房预售款项200万以上的。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责令限期纠正，并可处以违法所得2倍以上3倍以下但不超过3万元的罚款。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310</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住宅物业的建设单位未通过招投标的方式选聘物业服务企业或者未经批准，擅自采用协议方式选聘物业服务企业的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《物业管理条例》第二十四条第二款，《安徽省物业管理条例》第九十三条第一款第一项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物业管理条例》第五十六条</w:t>
            </w:r>
          </w:p>
          <w:p>
            <w:pPr>
              <w:widowControl/>
              <w:spacing w:line="240" w:lineRule="auto"/>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违反本条例的规定，住宅物业的建设单位未通过招投标的方式选聘物业服务企业或者未经批准，擅自采用协议方式选聘物业服务企业的，县级以上地方人民政府房地产行政主管部门责令限期改正，给予警告，可以并处10万元以下的罚款。</w:t>
            </w:r>
          </w:p>
          <w:p>
            <w:pPr>
              <w:widowControl/>
              <w:spacing w:line="240" w:lineRule="auto"/>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《安徽省物业管理条例》第九十三条第一款第一项</w:t>
            </w:r>
          </w:p>
          <w:p>
            <w:pPr>
              <w:widowControl/>
              <w:spacing w:line="240" w:lineRule="auto"/>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ascii="仿宋_GB2312" w:hAnsi="宋体" w:eastAsia="仿宋_GB2312" w:cs="Times New Roman"/>
                <w:color w:val="000000" w:themeColor="text1"/>
                <w:szCs w:val="21"/>
                <w14:textFill>
                  <w14:solidFill>
                    <w14:schemeClr w14:val="tx1"/>
                  </w14:solidFill>
                </w14:textFill>
              </w:rPr>
              <w:t>有下列行为之一的，依照国务院《物业管理条例》的规定处罚：</w:t>
            </w:r>
          </w:p>
          <w:p>
            <w:pPr>
              <w:widowControl/>
              <w:spacing w:line="240" w:lineRule="auto"/>
              <w:textAlignment w:val="center"/>
              <w:rPr>
                <w:rFonts w:ascii="仿宋_GB2312" w:hAnsi="宋体" w:eastAsia="仿宋_GB2312" w:cs="Times New Roman"/>
                <w:color w:val="000000" w:themeColor="text1"/>
                <w:szCs w:val="21"/>
                <w14:textFill>
                  <w14:solidFill>
                    <w14:schemeClr w14:val="tx1"/>
                  </w14:solidFill>
                </w14:textFill>
              </w:rPr>
            </w:pPr>
            <w:r>
              <w:rPr>
                <w:rFonts w:ascii="仿宋_GB2312" w:hAnsi="宋体" w:eastAsia="仿宋_GB2312" w:cs="Times New Roman"/>
                <w:color w:val="000000" w:themeColor="text1"/>
                <w:szCs w:val="21"/>
                <w14:textFill>
                  <w14:solidFill>
                    <w14:schemeClr w14:val="tx1"/>
                  </w14:solidFill>
                </w14:textFill>
              </w:rPr>
              <w:t>（一）住宅物业的建设单位未通过政府公共资源交易平台或者其他公开招投标的方式，选聘具有相应资质的物业服务企业实施前期物业管理的；</w:t>
            </w:r>
          </w:p>
          <w:p>
            <w:pPr>
              <w:widowControl/>
              <w:spacing w:line="240" w:lineRule="auto"/>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《物业管理条例》第二十四条第二款</w:t>
            </w:r>
          </w:p>
          <w:p>
            <w:pPr>
              <w:widowControl/>
              <w:spacing w:line="240" w:lineRule="auto"/>
              <w:ind w:firstLine="210" w:firstLineChars="10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住宅物业的建设单位，应当通过招投标的方式选聘物业服务企业；投标人少于3个或者住宅规模较小的，经物业所在地的区、县人民政府房地产行政主管部门批准，可以采用协议方式选聘物业服务企业。</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责令限期改正，给予警告，可以并处3万元以下罚款。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责令限期改正，给予警告，可以并处3万元以上6万元以下罚款。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责令限期改正，给予警告，可以并处6万元以上10万元以下罚款。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311</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建设单位擅自处分属于业主的物业共用部位、共用设施处分属于业主的物业共用部位、共用设施设备的所有权或者使用权的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《物业管理条例》第二十七条，</w:t>
            </w:r>
            <w:r>
              <w:rPr>
                <w:rFonts w:hint="eastAsia" w:ascii="仿宋_GB2312" w:hAnsi="宋体" w:eastAsia="仿宋_GB2312" w:cs="Times New Roman"/>
                <w:color w:val="000000" w:themeColor="text1"/>
                <w:kern w:val="0"/>
                <w:szCs w:val="21"/>
                <w14:textFill>
                  <w14:solidFill>
                    <w14:schemeClr w14:val="tx1"/>
                  </w14:solidFill>
                </w14:textFill>
              </w:rPr>
              <w:t>《安徽省物业管理条例》第九十三条第一款第二项</w:t>
            </w:r>
          </w:p>
          <w:p>
            <w:pPr>
              <w:widowControl/>
              <w:spacing w:line="240" w:lineRule="auto"/>
              <w:rPr>
                <w:rFonts w:ascii="仿宋_GB2312" w:hAnsi="宋体" w:eastAsia="仿宋_GB2312" w:cs="Times New Roman"/>
                <w:color w:val="000000" w:themeColor="text1"/>
                <w:szCs w:val="21"/>
                <w14:textFill>
                  <w14:solidFill>
                    <w14:schemeClr w14:val="tx1"/>
                  </w14:solidFill>
                </w14:textFill>
              </w:rPr>
            </w:pPr>
          </w:p>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《物业管理条例》第五十七条</w:t>
            </w:r>
            <w:r>
              <w:rPr>
                <w:rFonts w:ascii="仿宋_GB2312" w:hAnsi="宋体" w:eastAsia="仿宋_GB2312" w:cs="Times New Roman"/>
                <w:color w:val="000000" w:themeColor="text1"/>
                <w:kern w:val="0"/>
                <w:szCs w:val="21"/>
                <w14:textFill>
                  <w14:solidFill>
                    <w14:schemeClr w14:val="tx1"/>
                  </w14:solidFill>
                </w14:textFill>
              </w:rPr>
              <w:t>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《安徽省物业管理条例》第九十三条第一款第二项</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有下列行为之一的，依照国务院《物业管理条例》的规定处罚：（二）擅自处分属于业主的物业共用部位、共用设施设备的所有权或者使用权的；</w:t>
            </w:r>
          </w:p>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《物业管理条例》第二十七条</w:t>
            </w:r>
            <w:r>
              <w:rPr>
                <w:rFonts w:ascii="仿宋_GB2312" w:hAnsi="宋体" w:eastAsia="仿宋_GB2312" w:cs="Times New Roman"/>
                <w:color w:val="000000" w:themeColor="text1"/>
                <w:kern w:val="0"/>
                <w:szCs w:val="21"/>
                <w14:textFill>
                  <w14:solidFill>
                    <w14:schemeClr w14:val="tx1"/>
                  </w14:solidFill>
                </w14:textFill>
              </w:rPr>
              <w:t>业主依法享有的物业共用部位、共用设施设备的所有权或者使用权，建设单位不得擅自处分。</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处5万元以上15万元以下罚款。</w:t>
            </w:r>
          </w:p>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6"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312</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在办理物业承接验收手续时，建设单位</w:t>
            </w:r>
            <w:r>
              <w:rPr>
                <w:rFonts w:hint="eastAsia" w:ascii="仿宋_GB2312" w:hAnsi="宋体" w:eastAsia="仿宋_GB2312" w:cs="Times New Roman"/>
                <w:color w:val="000000" w:themeColor="text1"/>
                <w:kern w:val="0"/>
                <w:szCs w:val="21"/>
                <w14:textFill>
                  <w14:solidFill>
                    <w14:schemeClr w14:val="tx1"/>
                  </w14:solidFill>
                </w14:textFill>
              </w:rPr>
              <w:t>未</w:t>
            </w:r>
            <w:r>
              <w:rPr>
                <w:rFonts w:ascii="仿宋_GB2312" w:hAnsi="宋体" w:eastAsia="仿宋_GB2312" w:cs="Times New Roman"/>
                <w:color w:val="000000" w:themeColor="text1"/>
                <w:kern w:val="0"/>
                <w:szCs w:val="21"/>
                <w14:textFill>
                  <w14:solidFill>
                    <w14:schemeClr w14:val="tx1"/>
                  </w14:solidFill>
                </w14:textFill>
              </w:rPr>
              <w:t>向物业服务企业移交</w:t>
            </w:r>
            <w:r>
              <w:rPr>
                <w:rFonts w:hint="eastAsia" w:ascii="仿宋_GB2312" w:hAnsi="宋体" w:eastAsia="仿宋_GB2312" w:cs="Times New Roman"/>
                <w:color w:val="000000" w:themeColor="text1"/>
                <w:kern w:val="0"/>
                <w:szCs w:val="21"/>
                <w14:textFill>
                  <w14:solidFill>
                    <w14:schemeClr w14:val="tx1"/>
                  </w14:solidFill>
                </w14:textFill>
              </w:rPr>
              <w:t>有关</w:t>
            </w:r>
            <w:r>
              <w:rPr>
                <w:rFonts w:ascii="仿宋_GB2312" w:hAnsi="宋体" w:eastAsia="仿宋_GB2312" w:cs="Times New Roman"/>
                <w:color w:val="000000" w:themeColor="text1"/>
                <w:kern w:val="0"/>
                <w:szCs w:val="21"/>
                <w14:textFill>
                  <w14:solidFill>
                    <w14:schemeClr w14:val="tx1"/>
                  </w14:solidFill>
                </w14:textFill>
              </w:rPr>
              <w:t>资料</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《物业管理条例》第二十九条，《安徽省物业管理条例》第九十三条第一款第三项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物业管理条例》第五十八条不移交有关资料的，由县级以上地方人民政府房地产行政主管部门责令限期改正；逾期仍不移交有关资料的，对建设单位、物业服务企业予以通报，处1万元以上10万元以下的罚款。</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《安徽省物业管理条例》第九十三条第一款第三项</w:t>
            </w:r>
            <w:r>
              <w:rPr>
                <w:rFonts w:ascii="仿宋_GB2312" w:hAnsi="宋体" w:eastAsia="仿宋_GB2312" w:cs="Times New Roman"/>
                <w:color w:val="000000" w:themeColor="text1"/>
                <w:szCs w:val="21"/>
                <w14:textFill>
                  <w14:solidFill>
                    <w14:schemeClr w14:val="tx1"/>
                  </w14:solidFill>
                </w14:textFill>
              </w:rPr>
              <w:t>有下列行为之一的，依照国务院《物</w:t>
            </w:r>
            <w:r>
              <w:rPr>
                <w:rFonts w:ascii="仿宋_GB2312" w:hAnsi="宋体" w:eastAsia="仿宋_GB2312" w:cs="Times New Roman"/>
                <w:color w:val="000000" w:themeColor="text1"/>
                <w:kern w:val="0"/>
                <w:szCs w:val="21"/>
                <w14:textFill>
                  <w14:solidFill>
                    <w14:schemeClr w14:val="tx1"/>
                  </w14:solidFill>
                </w14:textFill>
              </w:rPr>
              <w:t>业管理条例》的规定处罚：</w:t>
            </w:r>
            <w:r>
              <w:rPr>
                <w:rFonts w:hint="eastAsia" w:ascii="仿宋_GB2312" w:hAnsi="宋体" w:eastAsia="仿宋_GB2312" w:cs="Times New Roman"/>
                <w:color w:val="000000" w:themeColor="text1"/>
                <w:kern w:val="0"/>
                <w:szCs w:val="21"/>
                <w14:textFill>
                  <w14:solidFill>
                    <w14:schemeClr w14:val="tx1"/>
                  </w14:solidFill>
                </w14:textFill>
              </w:rPr>
              <w:t>（三）不移交有关资料的；</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《物业管理条例》第二十九条</w:t>
            </w:r>
            <w:r>
              <w:rPr>
                <w:rFonts w:ascii="仿宋_GB2312" w:hAnsi="宋体" w:eastAsia="仿宋_GB2312" w:cs="Times New Roman"/>
                <w:color w:val="000000" w:themeColor="text1"/>
                <w:kern w:val="0"/>
                <w:szCs w:val="21"/>
                <w14:textFill>
                  <w14:solidFill>
                    <w14:schemeClr w14:val="tx1"/>
                  </w14:solidFill>
                </w14:textFill>
              </w:rPr>
              <w:t>在办理物业承接验收手续时，建设单位应当向物业服务企业移交下列资料： （一）竣工总平面图，单体建筑、结构、设备竣工图，配套设施、地下管网工程竣工图等竣工验收资料； （二）设施设备的安装、使用和维护保养等技术资料； （三）物业质量保修文件和物业使用说明文件； （四）物业管理所必需的其他资料。 物业服企业应当在前期物业服务合同终止时将上述资料移交给业主委员会。</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初次违法，责令限期改正，逾期1个月以下，不移交有关资料的。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予以通报，处1万元罚款。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2"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责令限期改正，逾期1个月以上3个月以下，仍不移交有关资料的。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予以通报，处1万元以上5万元以下罚款。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责令限期改正，逾期3个月以上，仍不移交有关资料的。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予以通报，处5万元以上10万元以下罚款。</w:t>
            </w:r>
          </w:p>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313</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物业服务企业将一个物业管理区域内的全部物业管理一并委托给他人的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《物业管理条例》第三十九条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物业管理条例》第五十九条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p>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《物业管理条例》第三十九条物业服务企业可以将物业管理区域内的专项服务业务委托给专业性服务企业，但不得将该区域内的全部物业管理一并委托给他人。</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责令限期改正，处委托合同价款30%的罚款。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责令限期改正，处委托合同价款30%以上40%以下的罚款。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责令限期改正，处委托合同价款40%以上50%以下的罚款。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314</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挪用专项维修资金的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《物业管理条例》第五十三条，《安徽省物业管理条例》第九十三条第一款第六项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物业管理条例》第六十条违反本条例的规定，挪用专项维修资金的，由县级以上地方人民政府房地产行政主管部门追回挪用的专项维修资金，给予警告，没收违法所得，可以并处挪用数额2倍以下的罚款；构成犯罪的，依法追究直接负责的主管人员和其他直接责任人员的刑事责任。</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《安徽省物业管理条例》第九十三条第一款第六项</w:t>
            </w:r>
            <w:r>
              <w:rPr>
                <w:rFonts w:ascii="仿宋_GB2312" w:hAnsi="宋体" w:eastAsia="仿宋_GB2312" w:cs="Times New Roman"/>
                <w:color w:val="000000" w:themeColor="text1"/>
                <w:szCs w:val="21"/>
                <w14:textFill>
                  <w14:solidFill>
                    <w14:schemeClr w14:val="tx1"/>
                  </w14:solidFill>
                </w14:textFill>
              </w:rPr>
              <w:t>有下列行为之一的，依照国务院《物业管理条例》的规定处罚</w:t>
            </w:r>
            <w:r>
              <w:rPr>
                <w:rFonts w:hint="eastAsia" w:ascii="仿宋_GB2312" w:hAnsi="宋体" w:eastAsia="仿宋_GB2312" w:cs="Times New Roman"/>
                <w:color w:val="000000" w:themeColor="text1"/>
                <w:szCs w:val="21"/>
                <w14:textFill>
                  <w14:solidFill>
                    <w14:schemeClr w14:val="tx1"/>
                  </w14:solidFill>
                </w14:textFill>
              </w:rPr>
              <w:t>（六）挪用专项维修资金</w:t>
            </w:r>
            <w:r>
              <w:rPr>
                <w:rFonts w:hint="eastAsia" w:ascii="仿宋_GB2312" w:hAnsi="宋体" w:eastAsia="仿宋_GB2312" w:cs="Times New Roman"/>
                <w:color w:val="000000" w:themeColor="text1"/>
                <w:kern w:val="0"/>
                <w:szCs w:val="21"/>
                <w14:textFill>
                  <w14:solidFill>
                    <w14:schemeClr w14:val="tx1"/>
                  </w14:solidFill>
                </w14:textFill>
              </w:rPr>
              <w:t>的；</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《物业管理条例》第五十三条</w:t>
            </w:r>
            <w:r>
              <w:rPr>
                <w:rFonts w:ascii="仿宋_GB2312" w:hAnsi="宋体" w:eastAsia="仿宋_GB2312" w:cs="Times New Roman"/>
                <w:color w:val="000000" w:themeColor="text1"/>
                <w:kern w:val="0"/>
                <w:szCs w:val="21"/>
                <w14:textFill>
                  <w14:solidFill>
                    <w14:schemeClr w14:val="tx1"/>
                  </w14:solidFill>
                </w14:textFill>
              </w:rPr>
              <w:t>住宅物业、住宅小区内的非住宅物业或者与单幢住宅楼结构相连的非住宅物业的业主，应当按照国家有关规定交纳专项维修资金。 专项维修资金属于业主所有，专项用于物业保修期满后物业共用部位、共用设施设备的维修和更新、改造，不得挪作他用。 专项维修资金收取、使用、管理的办法由国务院建设行政主管部门会同国务院财政部门制定。</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追回挪用的专项维修资金，给予警告，没收违法所得，可以并处挪用数额0.5倍以下的罚款。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追回挪用的专项维修资金，给予警告，没收违法所得，可以并处挪用数额0.5倍以上1倍以下的罚款。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追回挪用的专项维修资金，给予警告，没收违法所得，可以并处挪用数额1倍以上2倍以下的罚款。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315</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建设单位在物业管理区域内不按照规定配置必要的物业管理用房的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《物业管理条例》第三十条，《安徽省物业管理条例》第九十三条第一款第五项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物业管理条例》第六十一条违反本条例的规定，建设单位在物业管理区域内不按照规定配置必要的物业管理用房的，由县级以上地方人民政府房地产行政主管部门责令限期改正，给予警告，没收违法所得，并处10万元以上50万元以下的罚款。</w:t>
            </w:r>
          </w:p>
          <w:p>
            <w:pPr>
              <w:widowControl/>
              <w:spacing w:line="240" w:lineRule="auto"/>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《安徽省物业管理条例》第九十三条第一款第五项</w:t>
            </w:r>
            <w:r>
              <w:rPr>
                <w:rFonts w:ascii="仿宋_GB2312" w:hAnsi="宋体" w:eastAsia="仿宋_GB2312" w:cs="Times New Roman"/>
                <w:color w:val="000000" w:themeColor="text1"/>
                <w:szCs w:val="21"/>
                <w14:textFill>
                  <w14:solidFill>
                    <w14:schemeClr w14:val="tx1"/>
                  </w14:solidFill>
                </w14:textFill>
              </w:rPr>
              <w:t>有下列行为之一的，依照国务院《物业管理条例》的规定处罚</w:t>
            </w:r>
            <w:r>
              <w:rPr>
                <w:rFonts w:hint="eastAsia" w:ascii="仿宋_GB2312" w:hAnsi="宋体" w:eastAsia="仿宋_GB2312" w:cs="Times New Roman"/>
                <w:color w:val="000000" w:themeColor="text1"/>
                <w:szCs w:val="21"/>
                <w14:textFill>
                  <w14:solidFill>
                    <w14:schemeClr w14:val="tx1"/>
                  </w14:solidFill>
                </w14:textFill>
              </w:rPr>
              <w:t>（五）建设单位在物业管理区域内不按照规定配置物业服务用房的；</w:t>
            </w:r>
          </w:p>
          <w:p>
            <w:pPr>
              <w:widowControl/>
              <w:spacing w:line="240" w:lineRule="auto"/>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《物业管理条例》第三十条</w:t>
            </w:r>
            <w:r>
              <w:rPr>
                <w:rFonts w:ascii="仿宋_GB2312" w:hAnsi="宋体" w:eastAsia="仿宋_GB2312" w:cs="Times New Roman"/>
                <w:color w:val="000000" w:themeColor="text1"/>
                <w:szCs w:val="21"/>
                <w14:textFill>
                  <w14:solidFill>
                    <w14:schemeClr w14:val="tx1"/>
                  </w14:solidFill>
                </w14:textFill>
              </w:rPr>
              <w:t>建设单位应当按照规定在物业管理区域内配置必要的物业管理用房。</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责令限期改正，给予警告，没收违法所得，并处10万元罚款。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责令限期改正，给予警告，没收违法所得，并处10万元以上30万元以下罚款。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责令限期改正，给予警告，没收违法所得，并处30万元以上50万元以下罚款。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316</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未经业主大会同意，物业服务企业擅自改变物业管理用房的用途的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《物业管理条例》第三十七条，《安徽省物业管理条例》第九十三条第一款第七项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物业管理条例》第六十二条</w:t>
            </w:r>
          </w:p>
          <w:p>
            <w:pPr>
              <w:widowControl/>
              <w:spacing w:line="240" w:lineRule="auto"/>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违反本条例的规定，未经业主大会同意，物业服务企业擅自改变物业管理用房的用途的，由县级以上地方人民政府房地产行政主管部门责令限期改正，给予警告，并处1万元以上10万元以下的罚款；有收益的，所得收益用于物业管理区域内物业共用部位、共用设施设备的维修、养护，剩余部分按照业主大会的决定使用。《安徽省物业管理条例》第九十三条第一款第七项</w:t>
            </w:r>
            <w:r>
              <w:rPr>
                <w:rFonts w:ascii="仿宋_GB2312" w:hAnsi="宋体" w:eastAsia="仿宋_GB2312" w:cs="Times New Roman"/>
                <w:color w:val="000000" w:themeColor="text1"/>
                <w:szCs w:val="21"/>
                <w14:textFill>
                  <w14:solidFill>
                    <w14:schemeClr w14:val="tx1"/>
                  </w14:solidFill>
                </w14:textFill>
              </w:rPr>
              <w:t>有下列行为之一的，依照国务院《物业管理条例》的规定处罚</w:t>
            </w:r>
            <w:r>
              <w:rPr>
                <w:rFonts w:hint="eastAsia" w:ascii="仿宋_GB2312" w:hAnsi="宋体" w:eastAsia="仿宋_GB2312" w:cs="Times New Roman"/>
                <w:color w:val="000000" w:themeColor="text1"/>
                <w:szCs w:val="21"/>
                <w14:textFill>
                  <w14:solidFill>
                    <w14:schemeClr w14:val="tx1"/>
                  </w14:solidFill>
                </w14:textFill>
              </w:rPr>
              <w:t>（七）未经业主大会同意，物业服务企业擅自改变物业服务用房的用途的。</w:t>
            </w:r>
          </w:p>
          <w:p>
            <w:pPr>
              <w:widowControl/>
              <w:spacing w:line="240" w:lineRule="auto"/>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《物业管理条例》第三十七条</w:t>
            </w:r>
          </w:p>
          <w:p>
            <w:pPr>
              <w:widowControl/>
              <w:spacing w:line="240" w:lineRule="auto"/>
              <w:ind w:firstLine="210" w:firstLineChars="10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物业管理用房的所有权依法属于业主。未经业主大会同意，物业服务企业不得改变物业管理用房的用途。</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初次违法，责令限期改正，擅自改变用途，持续时间在3个月以下的。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责令限期改正，给予警告，并处3万元罚款。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实施违法行为，造成不良社会影响，责令限期改正，擅自改变用途，持续时间在3个月以上6个月以下的。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责令限期改正，给予警告，并处3万元以上6万元以下罚款。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实施违法行为，造成不良社会影响，责令限期改正，擅自改变用途，持续时间在6个月以上1年以下的。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责令限期改正，给予警告，并处6万元以上10万元以下罚款。</w:t>
            </w:r>
          </w:p>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317</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擅自改变物业管理区域内按照规划建设的公共建筑和共用设施用途的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《物业管理条例》第四十九条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物业管理条例》第六十三条第一项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 （一）擅自改变物业管理区域内按照规划建设的公共建筑和共用设施用途的；</w:t>
            </w:r>
          </w:p>
          <w:p>
            <w:pPr>
              <w:widowControl/>
              <w:spacing w:line="240" w:lineRule="auto"/>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个人有前款规定行为之一的，处1000元以上1万元以下的罚款；单位有前款规定行为之一的，处5万元以上20万元以下的罚款。</w:t>
            </w:r>
          </w:p>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《物业管理条例》第四十九条物业管理区域内按照规划建设的公共建筑和共用设施，不得改变用途。 业主依法确需改变公共建筑和共用设施用途的，应当在依法办理有关手续后告知物业服务企业；物业服务企业确需改变公共建筑和共用设施用途的，应当提请业主大会讨论决定同意后，由业主依法办理有关手续。</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对个人处1千元罚款；对单位处5万元罚款。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对个人处1千元以上5千元以下罚款；对单位处5万元以上15万元以下罚款。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对个人处5千元以上1万元以下罚款；对单位处15万元以上20万元以下罚款。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318</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擅自占用、挖掘物业管理区域内道路、场地，损害业主共同利益的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《物业管理条例》第五十条</w:t>
            </w: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《物业管理条例》第六十三条第二项</w:t>
            </w:r>
          </w:p>
          <w:p>
            <w:pPr>
              <w:widowControl/>
              <w:spacing w:line="0" w:lineRule="atLeas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二）擅自占用、挖掘物业管理区域内道路、场地，损害业主共同利益的；</w:t>
            </w:r>
          </w:p>
          <w:p>
            <w:pPr>
              <w:widowControl/>
              <w:spacing w:line="0" w:lineRule="atLeas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个人有前款规</w:t>
            </w:r>
            <w:r>
              <w:rPr>
                <w:rFonts w:hint="eastAsia" w:ascii="仿宋_GB2312" w:hAnsi="宋体" w:eastAsia="仿宋_GB2312" w:cs="Times New Roman"/>
                <w:color w:val="000000" w:themeColor="text1"/>
                <w:szCs w:val="21"/>
                <w14:textFill>
                  <w14:solidFill>
                    <w14:schemeClr w14:val="tx1"/>
                  </w14:solidFill>
                </w14:textFill>
              </w:rPr>
              <w:t>定行为之一的，处1000元以上1万元以下的罚款；单位有前款规定行为之一的，处5万元以上20万元以下的罚款。</w:t>
            </w:r>
          </w:p>
          <w:p>
            <w:pPr>
              <w:widowControl/>
              <w:spacing w:line="240" w:lineRule="auto"/>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《物业管理条例》第五十条</w:t>
            </w:r>
          </w:p>
          <w:p>
            <w:pPr>
              <w:widowControl/>
              <w:spacing w:line="240" w:lineRule="auto"/>
              <w:ind w:firstLine="210" w:firstLineChars="10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业主、物业服务企业不得擅自占用、挖掘物业管理区域内的道路、场地，损害业主的共同利益。 因维修物业或者公共利益，业主确需临时占用、挖掘道路、场地的，应当征得业主委员会和物业服务企业的同意；物业服务企业确需临时占用、挖掘道路、场地的，应当征得业主委员会的同意。 业主、物业服务企业应当将临时占用、挖掘的道路、场地，在约定期限内恢复原状。</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对个人处1千元罚款；对单位处5万元罚款。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对个人处1千元以上5千元以下罚款；对单位处5万元以上15万元以下罚款。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对个人处5千元以上1万元以下罚款；对单位处15万元以上20万元以下罚款。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319</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擅自利用物业共用部位、共用设施设备进行经营的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《物业管理条例》第五十四条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《物业管理条例》第六十三条第三项</w:t>
            </w:r>
          </w:p>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三）擅自利用物业共用部位、共用设施设备进行经营的。 个人有前款规定行为之一的，处1000元以上1万元以下的罚款；单位有前款规定行为之一的，处5万元以上20万元以下的罚款。</w:t>
            </w:r>
          </w:p>
          <w:p>
            <w:pPr>
              <w:widowControl/>
              <w:spacing w:line="240" w:lineRule="auto"/>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《物业管理条例》第五十四条</w:t>
            </w:r>
          </w:p>
          <w:p>
            <w:pPr>
              <w:widowControl/>
              <w:spacing w:line="240" w:lineRule="auto"/>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利用物业共用部位、共用设施设备进行经营的，应当在征得相关业主、业主大会、物业服务企业的同意后，按照规定办理有关手续。业主所得收益应当主要用于补充专项维修资金，也可以按照业主大会的决定使用。</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对个人处1千元罚款；对单位处5万元罚款。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对个人处1千元以上5千元以下罚款；对单位处5万元以上15万元以下罚款。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对个人处5千元以上1万元以下罚款；对单位处15万元以上20万元以下罚款。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320</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买受人未按本规定交存首期住宅专项维修资金, 开发建设单位将房屋交付买受人的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《住宅专项维修资金管理办法》第十三条</w:t>
            </w: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基金管理办法》第三十六条第一款开发建设单位违反本办法第十三条规定将房屋交付买受人的，由县级以上地方人民政府建设（房地产）主管部门责令限期改正；逾期不改正的，处以3万元以下的罚款。</w:t>
            </w:r>
          </w:p>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《住宅专项维修资金管理办法》第十三条未按本办法规定交存首期住宅专项维修资金的，开发建设单位或者公有住房售房单位不得将房屋交付购买人。</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处以1万元的罚款。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责令限期改正，逾期1个月以上3个月以下的。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责令限期改正，逾期3个月以上。</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321</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开发建设单位未按照尚未售出商品住宅或者公有住房的建筑面积，分摊维修、更新和改造费用的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《住宅专项维修资金管理办法》第二十一条</w:t>
            </w: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《住宅专项维修基金管理办法》第三十六条第二款</w:t>
            </w:r>
          </w:p>
          <w:p>
            <w:pPr>
              <w:widowControl/>
              <w:spacing w:line="0" w:lineRule="atLeas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开发建设单位未按本办法第二十一条规定分摊维修、更新和改造费用的，由县级以上地方人民政府建设（房地产）主管部门责令限期改正；逾期不改正的，处以1万元以下的罚款。</w:t>
            </w:r>
          </w:p>
          <w:p>
            <w:pPr>
              <w:widowControl/>
              <w:spacing w:line="240" w:lineRule="auto"/>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《住宅专项维修资金管理办法》第二十一条</w:t>
            </w:r>
          </w:p>
          <w:p>
            <w:pPr>
              <w:widowControl/>
              <w:spacing w:line="240" w:lineRule="auto"/>
              <w:ind w:firstLine="210" w:firstLineChars="10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共用部位、共用设施设备维修和更新、改造，涉及尚未售出的商品住宅、非住宅或者公有住房的，开发建设单位或者公有住房单位应当按照尚未售出商品住宅或者公有住房的建筑面积，分摊维修和更新、改造费用。</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责令限期改正，逾期1个月以上3个月以下的。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处以5千元以上7千5百元以下的罚款。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责令限期改正，逾期3个月以上。</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责令限期改正；逾期不改正的，处以7千5百元以上1万元以下的罚款。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322</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物业服务等企业挪用住宅专项维修资金的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《住宅专项维修资金管理办法》　第十八条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基金管理办法》第三十七条违反本办法规定，挪用住宅专项维修资金的，由县级以上地方人民政府建设(房地产)主管部门追回挪用的住宅专项维修资金，没收违法所得，可以并处挪用金额2倍以下的罚款；构成犯罪的，依法追究直接负责的主管人员和其他直接责任人员的刑事责任。《安徽省物业专项维修资金管理暂行办法》第二十九违反本办法规定，挪用物业专项维修资金的，由县级以上地方人民政府房地产行政主管部门追回挪用的物业专项维修资金，给予警告，没收违法所得，可以并处挪用数额2倍以下的罚款；物业服务企业挪用物业专项维修资金，情节严重的，由颁发资质证书的部门吊销资质证书；构成犯罪的，依法追究直接负责的主管人员和其他直接责任人员的刑事责任。</w:t>
            </w:r>
          </w:p>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《住宅专项维修资金管理办法》　第十八条住宅专项维修资金应当专项用于住宅共用部位、共用设施设备保修期满后的维修和更新、改造，不得挪作他用。</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没收违法所得，可以并处挪用金额0.5倍以下的罚款。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没收违法所得，可以并处挪用金额0.5倍以上1.5倍以下的罚款。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没收违法所得，可以并处挪用金额1.5倍以上2倍以下的罚款。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323</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建设单位未向物业管理行政主管部门或者街道办事处、乡镇人民政府报送筹备首次业主大会会议所需文件资料的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《安徽省物业管理条例》第十五条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《安徽省物业管理条例》第九十四条</w:t>
            </w:r>
          </w:p>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违反本条例第十五条规定，建设单位未向物业管理行政主管部门或者街道办事处、乡镇人民政府报送筹备首次业主大会会议所需文件资料的，由县级人民政府物业管理行政主管部门责令限期改正；逾期不改正的，处二万元以上十万元以下的罚款。</w:t>
            </w:r>
          </w:p>
          <w:p>
            <w:pPr>
              <w:widowControl/>
              <w:spacing w:line="240" w:lineRule="auto"/>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《安徽省物业管理条例》第十五条</w:t>
            </w:r>
          </w:p>
          <w:p>
            <w:pPr>
              <w:widowControl/>
              <w:spacing w:line="240" w:lineRule="auto"/>
              <w:ind w:firstLine="210" w:firstLineChars="100"/>
              <w:rPr>
                <w:rFonts w:ascii="仿宋_GB2312" w:hAnsi="宋体" w:eastAsia="仿宋_GB2312" w:cs="Times New Roman"/>
                <w:color w:val="000000" w:themeColor="text1"/>
                <w:szCs w:val="21"/>
                <w14:textFill>
                  <w14:solidFill>
                    <w14:schemeClr w14:val="tx1"/>
                  </w14:solidFill>
                </w14:textFill>
              </w:rPr>
            </w:pPr>
            <w:r>
              <w:rPr>
                <w:rFonts w:ascii="仿宋_GB2312" w:hAnsi="宋体" w:eastAsia="仿宋_GB2312" w:cs="Times New Roman"/>
                <w:color w:val="000000" w:themeColor="text1"/>
                <w:szCs w:val="21"/>
                <w14:textFill>
                  <w14:solidFill>
                    <w14:schemeClr w14:val="tx1"/>
                  </w14:solidFill>
                </w14:textFill>
              </w:rPr>
              <w:t>物业管理区域内，已交付的专有部分面积超过建筑物总面积百分之五十或者首批物业交付满三年的，建设单位应当向县级物业管理行政主管部门和街道办事处、乡镇人民政府报送下列筹备成立首次业主大会会议所需的文件资料：</w:t>
            </w:r>
          </w:p>
          <w:p>
            <w:pPr>
              <w:widowControl/>
              <w:spacing w:line="240" w:lineRule="auto"/>
              <w:rPr>
                <w:rFonts w:ascii="仿宋_GB2312" w:hAnsi="宋体" w:eastAsia="仿宋_GB2312" w:cs="Times New Roman"/>
                <w:color w:val="000000" w:themeColor="text1"/>
                <w:szCs w:val="21"/>
                <w14:textFill>
                  <w14:solidFill>
                    <w14:schemeClr w14:val="tx1"/>
                  </w14:solidFill>
                </w14:textFill>
              </w:rPr>
            </w:pPr>
            <w:r>
              <w:rPr>
                <w:rFonts w:ascii="仿宋_GB2312" w:hAnsi="宋体" w:eastAsia="仿宋_GB2312" w:cs="Times New Roman"/>
                <w:color w:val="000000" w:themeColor="text1"/>
                <w:szCs w:val="21"/>
                <w14:textFill>
                  <w14:solidFill>
                    <w14:schemeClr w14:val="tx1"/>
                  </w14:solidFill>
                </w14:textFill>
              </w:rPr>
              <w:t>（一）物业管理区域划分资料；</w:t>
            </w:r>
          </w:p>
          <w:p>
            <w:pPr>
              <w:widowControl/>
              <w:spacing w:line="240" w:lineRule="auto"/>
              <w:rPr>
                <w:rFonts w:ascii="仿宋_GB2312" w:hAnsi="宋体" w:eastAsia="仿宋_GB2312" w:cs="Times New Roman"/>
                <w:color w:val="000000" w:themeColor="text1"/>
                <w:szCs w:val="21"/>
                <w14:textFill>
                  <w14:solidFill>
                    <w14:schemeClr w14:val="tx1"/>
                  </w14:solidFill>
                </w14:textFill>
              </w:rPr>
            </w:pPr>
            <w:r>
              <w:rPr>
                <w:rFonts w:ascii="仿宋_GB2312" w:hAnsi="宋体" w:eastAsia="仿宋_GB2312" w:cs="Times New Roman"/>
                <w:color w:val="000000" w:themeColor="text1"/>
                <w:szCs w:val="21"/>
                <w14:textFill>
                  <w14:solidFill>
                    <w14:schemeClr w14:val="tx1"/>
                  </w14:solidFill>
                </w14:textFill>
              </w:rPr>
              <w:t>（二）房屋等建筑物面积清册；</w:t>
            </w:r>
          </w:p>
          <w:p>
            <w:pPr>
              <w:widowControl/>
              <w:spacing w:line="240" w:lineRule="auto"/>
              <w:rPr>
                <w:rFonts w:ascii="仿宋_GB2312" w:hAnsi="宋体" w:eastAsia="仿宋_GB2312" w:cs="Times New Roman"/>
                <w:color w:val="000000" w:themeColor="text1"/>
                <w:szCs w:val="21"/>
                <w14:textFill>
                  <w14:solidFill>
                    <w14:schemeClr w14:val="tx1"/>
                  </w14:solidFill>
                </w14:textFill>
              </w:rPr>
            </w:pPr>
            <w:r>
              <w:rPr>
                <w:rFonts w:ascii="仿宋_GB2312" w:hAnsi="宋体" w:eastAsia="仿宋_GB2312" w:cs="Times New Roman"/>
                <w:color w:val="000000" w:themeColor="text1"/>
                <w:szCs w:val="21"/>
                <w14:textFill>
                  <w14:solidFill>
                    <w14:schemeClr w14:val="tx1"/>
                  </w14:solidFill>
                </w14:textFill>
              </w:rPr>
              <w:t>（三）业主名册；</w:t>
            </w:r>
          </w:p>
          <w:p>
            <w:pPr>
              <w:widowControl/>
              <w:spacing w:line="240" w:lineRule="auto"/>
              <w:rPr>
                <w:rFonts w:ascii="仿宋_GB2312" w:hAnsi="宋体" w:eastAsia="仿宋_GB2312" w:cs="Times New Roman"/>
                <w:color w:val="000000" w:themeColor="text1"/>
                <w:szCs w:val="21"/>
                <w14:textFill>
                  <w14:solidFill>
                    <w14:schemeClr w14:val="tx1"/>
                  </w14:solidFill>
                </w14:textFill>
              </w:rPr>
            </w:pPr>
            <w:r>
              <w:rPr>
                <w:rFonts w:ascii="仿宋_GB2312" w:hAnsi="宋体" w:eastAsia="仿宋_GB2312" w:cs="Times New Roman"/>
                <w:color w:val="000000" w:themeColor="text1"/>
                <w:szCs w:val="21"/>
                <w14:textFill>
                  <w14:solidFill>
                    <w14:schemeClr w14:val="tx1"/>
                  </w14:solidFill>
                </w14:textFill>
              </w:rPr>
              <w:t>（四）建筑规划总平面图；</w:t>
            </w:r>
          </w:p>
          <w:p>
            <w:pPr>
              <w:widowControl/>
              <w:spacing w:line="240" w:lineRule="auto"/>
              <w:rPr>
                <w:rFonts w:ascii="仿宋_GB2312" w:hAnsi="宋体" w:eastAsia="仿宋_GB2312" w:cs="Times New Roman"/>
                <w:color w:val="000000" w:themeColor="text1"/>
                <w:szCs w:val="21"/>
                <w14:textFill>
                  <w14:solidFill>
                    <w14:schemeClr w14:val="tx1"/>
                  </w14:solidFill>
                </w14:textFill>
              </w:rPr>
            </w:pPr>
            <w:r>
              <w:rPr>
                <w:rFonts w:ascii="仿宋_GB2312" w:hAnsi="宋体" w:eastAsia="仿宋_GB2312" w:cs="Times New Roman"/>
                <w:color w:val="000000" w:themeColor="text1"/>
                <w:szCs w:val="21"/>
                <w14:textFill>
                  <w14:solidFill>
                    <w14:schemeClr w14:val="tx1"/>
                  </w14:solidFill>
                </w14:textFill>
              </w:rPr>
              <w:t>（五）共用设施设备的交接资料；</w:t>
            </w:r>
          </w:p>
          <w:p>
            <w:pPr>
              <w:widowControl/>
              <w:spacing w:line="240" w:lineRule="auto"/>
              <w:rPr>
                <w:rFonts w:ascii="仿宋_GB2312" w:hAnsi="宋体" w:eastAsia="仿宋_GB2312" w:cs="Times New Roman"/>
                <w:color w:val="000000" w:themeColor="text1"/>
                <w:szCs w:val="21"/>
                <w14:textFill>
                  <w14:solidFill>
                    <w14:schemeClr w14:val="tx1"/>
                  </w14:solidFill>
                </w14:textFill>
              </w:rPr>
            </w:pPr>
            <w:r>
              <w:rPr>
                <w:rFonts w:ascii="仿宋_GB2312" w:hAnsi="宋体" w:eastAsia="仿宋_GB2312" w:cs="Times New Roman"/>
                <w:color w:val="000000" w:themeColor="text1"/>
                <w:szCs w:val="21"/>
                <w14:textFill>
                  <w14:solidFill>
                    <w14:schemeClr w14:val="tx1"/>
                  </w14:solidFill>
                </w14:textFill>
              </w:rPr>
              <w:t>（六）物业服务用房配置确认资料；</w:t>
            </w:r>
          </w:p>
          <w:p>
            <w:pPr>
              <w:widowControl/>
              <w:spacing w:line="240" w:lineRule="auto"/>
              <w:rPr>
                <w:rFonts w:ascii="仿宋_GB2312" w:hAnsi="宋体" w:eastAsia="仿宋_GB2312" w:cs="Times New Roman"/>
                <w:color w:val="000000" w:themeColor="text1"/>
                <w:szCs w:val="21"/>
                <w14:textFill>
                  <w14:solidFill>
                    <w14:schemeClr w14:val="tx1"/>
                  </w14:solidFill>
                </w14:textFill>
              </w:rPr>
            </w:pPr>
            <w:r>
              <w:rPr>
                <w:rFonts w:ascii="仿宋_GB2312" w:hAnsi="宋体" w:eastAsia="仿宋_GB2312" w:cs="Times New Roman"/>
                <w:color w:val="000000" w:themeColor="text1"/>
                <w:szCs w:val="21"/>
                <w14:textFill>
                  <w14:solidFill>
                    <w14:schemeClr w14:val="tx1"/>
                  </w14:solidFill>
                </w14:textFill>
              </w:rPr>
              <w:t>（七）其他有关的文件资料。</w:t>
            </w:r>
          </w:p>
          <w:p>
            <w:pPr>
              <w:widowControl/>
              <w:spacing w:line="240" w:lineRule="auto"/>
              <w:rPr>
                <w:rFonts w:ascii="仿宋_GB2312" w:hAnsi="宋体" w:eastAsia="仿宋_GB2312" w:cs="Times New Roman"/>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责令限期改正，逾期1个月以上3个月以下的。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责令限期改正，逾期3个月以上的。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处6万元以上10万元以下的罚款。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324</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建设单位拒不承担首次业主大会筹备经费的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《安徽省物业管理条例》第十六条第四款</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安徽省物业管理条例》第九十五条第二款违反本条例第十六条第四款规定，建设单位拒不承担首次业主大会筹备经费的，由县级人民政府物业管理行政主管部门责令限期改正；逾期不改正的，处五万元以上十五万元以下的罚款。</w:t>
            </w:r>
          </w:p>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《安徽省物业管理条例》第十六条第四款首次业主大会会议的筹备经费由建设单位承担。</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责令限期改正，逾期1个月以上3个月以下的。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处5万元以上10万元以下的罚款。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责令限期改正，逾期3个月以上的。</w:t>
            </w:r>
          </w:p>
        </w:tc>
        <w:tc>
          <w:tcPr>
            <w:tcW w:w="3232" w:type="dxa"/>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处10万元以上15万元以下的罚款。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325</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物业服务企业未按期退出或者擅自撤离的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《安徽省物业管理条例》第六十三条第一款，第四款</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w:t>
            </w:r>
            <w:r>
              <w:rPr>
                <w:rFonts w:hint="eastAsia" w:ascii="仿宋_GB2312" w:hAnsi="宋体" w:eastAsia="仿宋_GB2312" w:cs="Times New Roman"/>
                <w:color w:val="000000" w:themeColor="text1"/>
                <w:szCs w:val="21"/>
                <w14:textFill>
                  <w14:solidFill>
                    <w14:schemeClr w14:val="tx1"/>
                  </w14:solidFill>
                </w14:textFill>
              </w:rPr>
              <w:t>物业管理条例</w:t>
            </w:r>
            <w:r>
              <w:rPr>
                <w:rFonts w:hint="eastAsia" w:ascii="仿宋_GB2312" w:hAnsi="宋体" w:eastAsia="仿宋_GB2312" w:cs="Times New Roman"/>
                <w:color w:val="000000" w:themeColor="text1"/>
                <w:kern w:val="0"/>
                <w:szCs w:val="21"/>
                <w14:textFill>
                  <w14:solidFill>
                    <w14:schemeClr w14:val="tx1"/>
                  </w14:solidFill>
                </w14:textFill>
              </w:rPr>
              <w:t>》第九十七条违反本条例第六十三条第一款、第四款规定，物业服务企业未按期退出或者擅自撤离的，由县级以上人民政府物业管理行政主管部门责令限期改正；逾期不改正的，由县级以上人民政府物业管理行政主管部门处以五万元以上十万元以下的罚款。</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《安徽省物业管理条例》第六十三条第一款</w:t>
            </w:r>
            <w:r>
              <w:rPr>
                <w:rFonts w:ascii="仿宋_GB2312" w:hAnsi="宋体" w:eastAsia="仿宋_GB2312" w:cs="Times New Roman"/>
                <w:color w:val="000000" w:themeColor="text1"/>
                <w:kern w:val="0"/>
                <w:szCs w:val="21"/>
                <w14:textFill>
                  <w14:solidFill>
                    <w14:schemeClr w14:val="tx1"/>
                  </w14:solidFill>
                </w14:textFill>
              </w:rPr>
              <w:t>物业服务合同解除或者终止后，原物业服务企业应当在物业服务合同解除或者终止，并在新的物业服务企业选聘后十五日内退出，并按照法律、法规规定和合同约定，向业主委员会或者其他代管单位移交下列资料和财物：</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（一）移交本条例第五十二条规定的材料；</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（二）移交物业服务期间形成的有关物业及设施设备改造、维修、运行、保养的有关资料及物业服务档案；</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（三）物业服务用房和物业共用部位、共用设施设备；</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（四）移交清算预收、代收的有关费用及相关账册、票据；</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（五）法律、法规规定的应当移交的其他事项。</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第四款物业服务企业未办理交接手续，不得擅自撤离物业管理区域、停止物业服务。</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处以5万元的罚款。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责令限期改正，逾期1个月以上3个月以下的。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处5万元以上7万元以下的罚款。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责令限期改正，逾期3个月以上的。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处7万元以上10万元以下的罚款。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326</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240" w:lineRule="auto"/>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装修过程中擅自变动房屋建筑主体和承重结构</w:t>
            </w:r>
          </w:p>
        </w:tc>
        <w:tc>
          <w:tcPr>
            <w:tcW w:w="1115" w:type="dxa"/>
            <w:gridSpan w:val="3"/>
            <w:vMerge w:val="restart"/>
            <w:tcBorders>
              <w:tl2br w:val="nil"/>
              <w:tr2bl w:val="nil"/>
            </w:tcBorders>
            <w:vAlign w:val="center"/>
          </w:tcPr>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《安徽省物业管理条例》第七十九条第一款第一项</w:t>
            </w:r>
          </w:p>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w:t>
            </w:r>
            <w:r>
              <w:rPr>
                <w:rFonts w:hint="eastAsia" w:ascii="仿宋_GB2312" w:hAnsi="宋体" w:eastAsia="仿宋_GB2312" w:cs="Times New Roman"/>
                <w:color w:val="000000" w:themeColor="text1"/>
                <w:szCs w:val="21"/>
                <w14:textFill>
                  <w14:solidFill>
                    <w14:schemeClr w14:val="tx1"/>
                  </w14:solidFill>
                </w14:textFill>
              </w:rPr>
              <w:t>物业管理条例</w:t>
            </w:r>
            <w:r>
              <w:rPr>
                <w:rFonts w:hint="eastAsia" w:ascii="仿宋_GB2312" w:hAnsi="宋体" w:eastAsia="仿宋_GB2312" w:cs="Times New Roman"/>
                <w:color w:val="000000" w:themeColor="text1"/>
                <w:kern w:val="0"/>
                <w:szCs w:val="21"/>
                <w14:textFill>
                  <w14:solidFill>
                    <w14:schemeClr w14:val="tx1"/>
                  </w14:solidFill>
                </w14:textFill>
              </w:rPr>
              <w:t>》第一百条第一款违反本条例第七十九条第一款第一项规定的，由县级以上人民政府住房和城乡建设部门责令限期改正，恢复原状，处以五万元以上十万元以下罚款。给他人造成损失的，责任人应当依法予以赔偿。</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《安徽省物业管理条例》第七十九条第一款第一项</w:t>
            </w:r>
            <w:r>
              <w:rPr>
                <w:rFonts w:ascii="仿宋_GB2312" w:hAnsi="宋体" w:eastAsia="仿宋_GB2312" w:cs="Times New Roman"/>
                <w:color w:val="000000" w:themeColor="text1"/>
                <w:kern w:val="0"/>
                <w:szCs w:val="21"/>
                <w14:textFill>
                  <w14:solidFill>
                    <w14:schemeClr w14:val="tx1"/>
                  </w14:solidFill>
                </w14:textFill>
              </w:rPr>
              <w:t>物业管理区域内禁止下列行为：</w:t>
            </w:r>
          </w:p>
          <w:p>
            <w:pPr>
              <w:widowControl/>
              <w:spacing w:line="0" w:lineRule="atLeas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（一）装修过程中擅自变动房屋建筑主体和承重结构；</w:t>
            </w:r>
          </w:p>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责令限期改正，恢复原状，处5万元的罚款。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责令限期改正，恢复原状，处5万元以上7万元以下的罚款。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责令限期改正，恢复原状，处7万元以上10万元以下的罚款。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327</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侵占、损坏物业的共用部位、共用设施设备</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《安徽省物业管理条例》第七十九条第一款第二项</w:t>
            </w:r>
          </w:p>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w:t>
            </w:r>
            <w:r>
              <w:rPr>
                <w:rFonts w:hint="eastAsia" w:ascii="仿宋_GB2312" w:hAnsi="宋体" w:eastAsia="仿宋_GB2312" w:cs="Times New Roman"/>
                <w:color w:val="000000" w:themeColor="text1"/>
                <w:szCs w:val="21"/>
                <w14:textFill>
                  <w14:solidFill>
                    <w14:schemeClr w14:val="tx1"/>
                  </w14:solidFill>
                </w14:textFill>
              </w:rPr>
              <w:t>物业管理条例》第一百条第二款违反本条例第七十九条第一款第二项规定的，由物业管理行政主管部门或者其他依法行使监督管理权的部门责令限期改正、恢复原状，并对个人处以二千元以上一万元以下罚款；对单位处以五万元以上二十万元以下罚款。</w:t>
            </w:r>
          </w:p>
          <w:p>
            <w:pPr>
              <w:widowControl/>
              <w:spacing w:line="240" w:lineRule="auto"/>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《安徽省物业管理条例》第七十九条第一款第二项</w:t>
            </w:r>
            <w:r>
              <w:rPr>
                <w:rFonts w:ascii="仿宋_GB2312" w:hAnsi="宋体" w:eastAsia="仿宋_GB2312" w:cs="Times New Roman"/>
                <w:color w:val="000000" w:themeColor="text1"/>
                <w:szCs w:val="21"/>
                <w14:textFill>
                  <w14:solidFill>
                    <w14:schemeClr w14:val="tx1"/>
                  </w14:solidFill>
                </w14:textFill>
              </w:rPr>
              <w:t>物业管理区域内禁止下列行为：</w:t>
            </w:r>
          </w:p>
          <w:p>
            <w:pPr>
              <w:widowControl/>
              <w:spacing w:line="240" w:lineRule="auto"/>
              <w:textAlignment w:val="center"/>
              <w:rPr>
                <w:rFonts w:ascii="仿宋_GB2312" w:hAnsi="宋体" w:eastAsia="仿宋_GB2312" w:cs="Times New Roman"/>
                <w:color w:val="000000" w:themeColor="text1"/>
                <w:szCs w:val="21"/>
                <w14:textFill>
                  <w14:solidFill>
                    <w14:schemeClr w14:val="tx1"/>
                  </w14:solidFill>
                </w14:textFill>
              </w:rPr>
            </w:pPr>
            <w:r>
              <w:rPr>
                <w:rFonts w:ascii="仿宋_GB2312" w:hAnsi="宋体" w:eastAsia="仿宋_GB2312" w:cs="Times New Roman"/>
                <w:color w:val="000000" w:themeColor="text1"/>
                <w:szCs w:val="21"/>
                <w14:textFill>
                  <w14:solidFill>
                    <w14:schemeClr w14:val="tx1"/>
                  </w14:solidFill>
                </w14:textFill>
              </w:rPr>
              <w:t>（二）侵占、损坏物业的共用部位、共用设施设备；</w:t>
            </w:r>
          </w:p>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责令限期改正，恢复原状，个人处以2千元以上5千元以下罚款，单位处以5万元以上10万元以下罚款。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责令限期改正，恢复原状，个人处以5千元以上7千元以下罚款，单位处以10万元以上15万元以下罚款。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责令限期改正，恢复原状，个人处以7千元以上1万元以下罚款，单位处以15万元以上20万元以下罚款。</w:t>
            </w:r>
          </w:p>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328</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擅自改变建筑物及其附属设施用途的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《安徽省物业管理条例》第七十九条第一款第四项规定</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w:t>
            </w:r>
            <w:r>
              <w:rPr>
                <w:rFonts w:hint="eastAsia" w:ascii="仿宋_GB2312" w:hAnsi="宋体" w:eastAsia="仿宋_GB2312" w:cs="Times New Roman"/>
                <w:color w:val="000000" w:themeColor="text1"/>
                <w:szCs w:val="21"/>
                <w14:textFill>
                  <w14:solidFill>
                    <w14:schemeClr w14:val="tx1"/>
                  </w14:solidFill>
                </w14:textFill>
              </w:rPr>
              <w:t>物业管理条例》第一百条第三</w:t>
            </w:r>
            <w:r>
              <w:rPr>
                <w:rFonts w:hint="eastAsia" w:ascii="仿宋_GB2312" w:hAnsi="宋体" w:eastAsia="仿宋_GB2312" w:cs="Times New Roman"/>
                <w:color w:val="000000" w:themeColor="text1"/>
                <w:kern w:val="0"/>
                <w:szCs w:val="21"/>
                <w14:textFill>
                  <w14:solidFill>
                    <w14:schemeClr w14:val="tx1"/>
                  </w14:solidFill>
                </w14:textFill>
              </w:rPr>
              <w:t>款违反本条例第七十九条第一款第四项规定，擅自改变建筑物及其附属设施用途的，由业主委员会根据管理规约约定进行协调、处理；协调处理不成的，由物业管理行政主管部门或者其他依法行使监督管理权的部门责令限期改正、恢复原状；情节严重的，可处以五千元以上二万元以下的罚款。</w:t>
            </w:r>
          </w:p>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《安徽省物业管理条例》第七十九条第一款第四项规定违反法律、法规和管理规约，以及未经有利害关系的业主同意，改变建筑物及其附属设施的用途；</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责令限期改正，恢复原状。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责令限期改正，恢复原状；可处以5千元以上1万元以下的罚款。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责令限期改正，恢复原状；可处以1万元以上2万元以下的罚款。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329</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在房产面积测算中不执行国家标准、规范和规定的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《房产测绘管理办法》第三条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《房产测绘管理办法》第二十一条第一项：</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房产测绘单位有下列情形之一的，由县级以上人民政府房地产行政主管部门给予警告并责令限期改正，并可处以1万元以上3万元以下的罚款；情节严重的，由发证机关予以降级或者取消其房产测绘资格：</w:t>
            </w:r>
          </w:p>
          <w:p>
            <w:pPr>
              <w:widowControl/>
              <w:numPr>
                <w:ilvl w:val="0"/>
                <w:numId w:val="3"/>
              </w:numPr>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在房产面积测算中不执行国家标准、规范和规定的；</w:t>
            </w:r>
          </w:p>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三条房产测绘单位应当严格遵守国家有关法律、法规，执行国家房产测量规范和有关技术标准、规定，对其完成的房产测绘成果质量负责。房产测绘单位应当采用先进技术和设备，提高测绘技术水平，接受房地产行政主管部门和测绘行政主管部门的技术指导和业务监督。</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给予警告，责令限期改正，并处2万元以上3万元以下的罚款，降级或者取消其房产测绘资格。</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330</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在房产面积测算中弄虚作假、欺骗房屋权利人的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《房产测绘管理办法》第四条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《房产测绘管理办法》第二十一条第二项：</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房产测绘单位有下列情形之一的，由县级以上人民政府房地产行政主管部门给予警告并责令限期改正，并可处以1万元以上3万元以下的罚款；情节严重的，由发证机关予以降级或者取消其房产测绘资格：</w:t>
            </w:r>
          </w:p>
          <w:p>
            <w:pPr>
              <w:widowControl/>
              <w:numPr>
                <w:ilvl w:val="0"/>
                <w:numId w:val="3"/>
              </w:numPr>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在房产面积测算中弄虚作假、欺骗房屋权利人的。</w:t>
            </w:r>
          </w:p>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《房产测绘管理办法》第四条房产测绘从业人员应当保证测绘成果的完整、准确，不得违规测绘、弄虚作假，不得损害国家利益、</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"https://baike.baidu.com/item/%E7%A4%BE%E4%BC%9A%E5%85%AC%E5%85%B1%E5%88%A9%E7%9B%8A"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社会公共利益</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和他人合法权益。</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给予警告，责令限期改正，并处2万元以上3万元以下的罚款，降级或者取消其房产测绘资格。</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331</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房产面积测算失误，造成重大损失的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《房产测绘管理办法》第四条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《房产测绘管理办法》第二十一条第三项：</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房产测绘单位有下列情形之一的，由县级以上人民政府房地产行政主管部门给予警告并责令限期改正，并可处以1万元以上3万元以下的罚款；情节严重的，由发证机关予以降级或者取消其房产测绘资格：</w:t>
            </w:r>
          </w:p>
          <w:p>
            <w:pPr>
              <w:widowControl/>
              <w:numPr>
                <w:ilvl w:val="0"/>
                <w:numId w:val="3"/>
              </w:numPr>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房产面积测算失误，造成重大损失的。</w:t>
            </w:r>
          </w:p>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《房产测绘管理办法》第四条房产测绘从业人员应当保证测绘成果的完整、准确，不得违规测绘、弄虚作假，不得损害国家利益、</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"https://baike.baidu.com/item/%E7%A4%BE%E4%BC%9A%E5%85%AC%E5%85%B1%E5%88%A9%E7%9B%8A"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社会公共利益</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和他人合法权益。</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给予警告，责令限期改正，并处2万元以上3万元以下的罚款，降级或者取消其房产测绘资格。</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332</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白蚁防治单位未建立健全白蚁防治质量保证体系，未严格按照国家和地方有关城市房屋白蚁防治的施工技术规范和操作程序进行防治</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《城市房屋白蚁防治管理规定》第九条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《城市房屋白蚁防治管理规定》第十四条</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白蚁防治单位违反本规定第九条规定的，由房屋所在地的县级以上人民政府房地产行政主管部门责令限期改正，并处以1万元以上3万元以下的罚款。</w:t>
            </w:r>
          </w:p>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《城市房屋白蚁防治管理规定》第九条白蚁防治单位应当建立健全白蚁防治质量保证体系，严格按照国家和地方有关城市房屋白蚁防治的施工技术规范和操作程序进行防治。</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333</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违反“房地产开发企业在进行商品房销（预）售时，应当向购房人出具该项目的《白蚁预防合同》或者其他实施房屋白蚁预防的证明文件，提供的《住宅质量保证书》中必须包括白蚁预防质量保证的内容”的规定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《城市房屋白蚁防治管理规定》第十一条第一款</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《城市房屋白蚁防治管理规定》第十六条：</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房地产开发企业违反本规定第十一条第一款的规定，由房屋所在地的县级以上地方人民政府房地产行政主管部门责令限期改正，并处以2万元以上3万元以下的罚款。</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建设单位未按照本规定进行白蚁预防的，由房屋所在地的县级以上地方人民政府房地产行政主管部门责令限期改正，并处以1万元以上3万元以下的罚款。</w:t>
            </w:r>
          </w:p>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第十一条第一款房地产开发企业在进行商品房销（预）售时，应当向购房人出具该项目的《白蚁预防合同》或者其他实施房屋白蚁预防的证明文件，提供的《住宅质量保证书》中必须包括白蚁预防质量保证的内容。</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334</w:t>
            </w:r>
          </w:p>
        </w:tc>
        <w:tc>
          <w:tcPr>
            <w:tcW w:w="1440"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建设单位未按照本规定进行白蚁预防的</w:t>
            </w:r>
          </w:p>
        </w:tc>
        <w:tc>
          <w:tcPr>
            <w:tcW w:w="1115" w:type="dxa"/>
            <w:gridSpan w:val="3"/>
            <w:vMerge w:val="restart"/>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《城市房屋白蚁防治管理规定》第二条、第七条、第八条</w:t>
            </w:r>
          </w:p>
        </w:tc>
        <w:tc>
          <w:tcPr>
            <w:tcW w:w="4255" w:type="dxa"/>
            <w:gridSpan w:val="2"/>
            <w:vMerge w:val="restart"/>
            <w:tcBorders>
              <w:tl2br w:val="nil"/>
              <w:tr2bl w:val="nil"/>
            </w:tcBorders>
            <w:vAlign w:val="center"/>
          </w:tcPr>
          <w:p>
            <w:pPr>
              <w:widowControl/>
              <w:spacing w:line="0" w:lineRule="atLeas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 xml:space="preserve">《城市房屋白蚁防治管理规定》第十六条 </w:t>
            </w:r>
            <w:r>
              <w:rPr>
                <w:rFonts w:ascii="仿宋_GB2312" w:hAnsi="宋体" w:eastAsia="仿宋_GB2312" w:cs="Times New Roman"/>
                <w:color w:val="000000" w:themeColor="text1"/>
                <w:kern w:val="0"/>
                <w:szCs w:val="21"/>
                <w14:textFill>
                  <w14:solidFill>
                    <w14:schemeClr w14:val="tx1"/>
                  </w14:solidFill>
                </w14:textFill>
              </w:rPr>
              <w:t>建设单位未按照本规定进行白蚁预防的，由房屋所在地的县级以上地方人民政府房地产行政主管部门责令限期改正，并处以1万元以上3万元以下的罚款。</w:t>
            </w:r>
          </w:p>
          <w:p>
            <w:pPr>
              <w:widowControl/>
              <w:spacing w:line="0" w:lineRule="atLeas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《城市房屋白蚁防治管理规定》第二条、第七条、第八条第二条本规定适用于白蚁危害地区城市房屋的白蚁防治管理。</w:t>
            </w:r>
          </w:p>
          <w:p>
            <w:pPr>
              <w:widowControl/>
              <w:spacing w:line="0" w:lineRule="atLeas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第七条建设项目依法批准后，建设单位应当将白蚁预防费用列入工程概预算。</w:t>
            </w:r>
          </w:p>
          <w:p>
            <w:pPr>
              <w:widowControl/>
              <w:spacing w:line="0" w:lineRule="atLeas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第八条建设项目开工前，建设单位应当与白蚁防治单位签订白蚁预防合同。白蚁预防合同中应当载明防治范围、防治费用、质量标准、验收方法、包治期限、定期回访、双方的权利义务以及违约责任等内容。</w:t>
            </w:r>
            <w:r>
              <w:rPr>
                <w:rFonts w:ascii="仿宋_GB2312" w:hAnsi="宋体" w:eastAsia="仿宋_GB2312" w:cs="Times New Roman"/>
                <w:color w:val="000000" w:themeColor="text1"/>
                <w:kern w:val="0"/>
                <w:szCs w:val="21"/>
                <w14:textFill>
                  <w14:solidFill>
                    <w14:schemeClr w14:val="tx1"/>
                  </w14:solidFill>
                </w14:textFill>
              </w:rPr>
              <w:br w:type="textWrapping"/>
            </w:r>
            <w:r>
              <w:rPr>
                <w:rFonts w:ascii="仿宋_GB2312" w:hAnsi="宋体" w:eastAsia="仿宋_GB2312" w:cs="Times New Roman"/>
                <w:color w:val="000000" w:themeColor="text1"/>
                <w:kern w:val="0"/>
                <w:szCs w:val="21"/>
                <w14:textFill>
                  <w14:solidFill>
                    <w14:schemeClr w14:val="tx1"/>
                  </w14:solidFill>
                </w14:textFill>
              </w:rPr>
              <w:t>　　白蚁预防包治期限不得低于15年，包治期限自工程交付使用之日起计算。</w:t>
            </w: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p>
          <w:p>
            <w:pPr>
              <w:widowControl/>
              <w:spacing w:line="0" w:lineRule="atLeas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335</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房地产价格评估机构或者房地产估价师出具虚假或者有重大差错的评估报告的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《国有土地上房屋征收与补偿条例》第三十四条</w:t>
            </w:r>
          </w:p>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《国有土地上房屋征收与补偿条例》第三十四条：</w:t>
            </w:r>
          </w:p>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w:t>
            </w:r>
          </w:p>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责令限期改正，给予警告，对房地产价格评估机构并处5万元以上10万元以下罚款，对房地产估价师并处1万元以上1.5万元以下罚款，并记入信用档案。</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责令限期改正，给予警告，对房地产价格评估机构并处10万元以上15万元以下罚款，对房地产估价师并处1.5万元以上2万元以下罚款，并记入信用档案。</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给予警告，对房地产价格评估机构并处15万元以上20万元以下罚款，对房地产估价师并处2万元以上3万元以下罚款，并记入信用档案，情节严重的吊销房地产价格评估机构资质证书，吊销房地产估价师注册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336</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公共租赁住房的所有权人及其委托的运营单位向不符合条件的对象出租公共租赁住房的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《公共租赁住房管理办法》第七条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《公共租赁住房管理办法》第三十四条第一款第一项：</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公共租赁住房的所有权人及其委托的运营单位违反本办法，有下列行为之一的，由市、县级人民政府住房保障主管部门责令限期改正，并处以3万元以下罚款：</w:t>
            </w:r>
          </w:p>
          <w:p>
            <w:pPr>
              <w:widowControl/>
              <w:numPr>
                <w:ilvl w:val="0"/>
                <w:numId w:val="4"/>
              </w:numPr>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向不符合条件的对象出租公共租赁住房的；</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《公共租赁住房管理办法》第七条</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申请公共租赁住房，应当符合以下条件：</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（一）在本地无住房或者住房面积低于规定标准；</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（二）收入、财产低于规定标准；</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（三）申请人为外来务工人员的，在本地稳定就业达到规定年限。</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具体条件由直辖市和市、县级人民政府住房保障主管部门根据本地区实际情况确定，报本级人民政府批准后实施并向社会公布。</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向1个不符合条件的对象出租公共租赁住房的。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w:t>
            </w:r>
            <w:r>
              <w:rPr>
                <w:rFonts w:ascii="仿宋_GB2312" w:hAnsi="宋体" w:eastAsia="仿宋_GB2312"/>
                <w:color w:val="000000" w:themeColor="text1"/>
                <w:kern w:val="0"/>
                <w:szCs w:val="21"/>
                <w14:textFill>
                  <w14:solidFill>
                    <w14:schemeClr w14:val="tx1"/>
                  </w14:solidFill>
                </w14:textFill>
              </w:rPr>
              <w:t>万元以下的罚款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向2个不符合条件的对象出租公共租赁住房的。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2万</w:t>
            </w:r>
            <w:r>
              <w:rPr>
                <w:rFonts w:ascii="仿宋_GB2312" w:hAnsi="宋体" w:eastAsia="仿宋_GB2312"/>
                <w:color w:val="000000" w:themeColor="text1"/>
                <w:kern w:val="0"/>
                <w:szCs w:val="21"/>
                <w14:textFill>
                  <w14:solidFill>
                    <w14:schemeClr w14:val="tx1"/>
                  </w14:solidFill>
                </w14:textFill>
              </w:rPr>
              <w:t>元以下的罚款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向3个以上不符合条件的对象出租公共租赁住房的。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2</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3</w:t>
            </w:r>
            <w:r>
              <w:rPr>
                <w:rFonts w:ascii="仿宋_GB2312" w:hAnsi="宋体" w:eastAsia="仿宋_GB2312"/>
                <w:color w:val="000000" w:themeColor="text1"/>
                <w:kern w:val="0"/>
                <w:szCs w:val="21"/>
                <w14:textFill>
                  <w14:solidFill>
                    <w14:schemeClr w14:val="tx1"/>
                  </w14:solidFill>
                </w14:textFill>
              </w:rPr>
              <w:t>万元以下的罚款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337</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公共租赁住房的所有权人及其委托的运营单位未履行公共租赁住房及其配套设施维修养护义务的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《公共租赁住房管理办法》第二十四条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《公共租赁住房管理办法》第三十四条第一款第二项：</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公共租赁住房的所有权人及其委托的运营单位违反本办法，有下列行为之一的，由市、县级人民政府住房保障主管部门责令限期改正，并处以3万元以下罚款：</w:t>
            </w:r>
          </w:p>
          <w:p>
            <w:pPr>
              <w:widowControl/>
              <w:numPr>
                <w:ilvl w:val="0"/>
                <w:numId w:val="4"/>
              </w:numPr>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未履行公共租赁住房及其配套设施维修养护义务的；</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《公共租赁住房管理办法》第二十四条公共租赁住房的所有权人及其委托的运营单位应当负责公共租赁住房及其配套设施的维修养护，确保公共租赁住房的正常使用。</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338</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公共租赁住房的所有权人及其委托的运营单位改变公共租赁住房的保障性住房性质、用途，以及配套设施的规划用途的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《公共租赁住房管理办法》第二十五条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《公共租赁住房管理办法》第三十四条第一款第三项：</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公共租赁住房的所有权人及其委托的运营单位违反本办法，有下列行为之一的，由市、县级人民政府住房保障主管部门责令限期改正，并处以3万元以下罚款：</w:t>
            </w:r>
          </w:p>
          <w:p>
            <w:pPr>
              <w:widowControl/>
              <w:numPr>
                <w:ilvl w:val="0"/>
                <w:numId w:val="4"/>
              </w:numPr>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改变公共租赁住房的保障性住房性质、用途，以及配套设施的规划用途的。</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《公共租赁住房管理办法》第二十五条公共租赁住房的所有权人及其委托的运营单位不得改变公共租赁住房的保障性住房性质、用途及其配套设施的规划用途。</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改变公共租赁住房的保障性住房性质、用途，以及配套设施的规划用途100平方米以内的。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改变公共租赁住房的保障性住房性质、用途，以及配套设施的规划用途100平方米以上300平方米以内的。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改变公共租赁住房的保障性住房性质、用途，以及配套设施的规划用途300平方米以上的。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6"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339</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以欺骗等不正手段，登记为轮候对象或者承租公共租赁住房的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《公共租赁住房管理办法》第八条第一款</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w:t>
            </w:r>
            <w:r>
              <w:rPr>
                <w:rFonts w:ascii="仿宋_GB2312" w:hAnsi="宋体" w:eastAsia="仿宋_GB2312"/>
                <w:color w:val="000000" w:themeColor="text1"/>
                <w:kern w:val="0"/>
                <w:szCs w:val="21"/>
                <w14:textFill>
                  <w14:solidFill>
                    <w14:schemeClr w14:val="tx1"/>
                  </w14:solidFill>
                </w14:textFill>
              </w:rPr>
              <w:t>第三十</w:t>
            </w:r>
            <w:r>
              <w:rPr>
                <w:rFonts w:hint="eastAsia" w:ascii="仿宋_GB2312" w:hAnsi="宋体" w:eastAsia="仿宋_GB2312"/>
                <w:color w:val="000000" w:themeColor="text1"/>
                <w:kern w:val="0"/>
                <w:szCs w:val="21"/>
                <w14:textFill>
                  <w14:solidFill>
                    <w14:schemeClr w14:val="tx1"/>
                  </w14:solidFill>
                </w14:textFill>
              </w:rPr>
              <w:t>五</w:t>
            </w:r>
            <w:r>
              <w:rPr>
                <w:rFonts w:ascii="仿宋_GB2312" w:hAnsi="宋体" w:eastAsia="仿宋_GB2312"/>
                <w:color w:val="000000" w:themeColor="text1"/>
                <w:kern w:val="0"/>
                <w:szCs w:val="21"/>
                <w14:textFill>
                  <w14:solidFill>
                    <w14:schemeClr w14:val="tx1"/>
                  </w14:solidFill>
                </w14:textFill>
              </w:rPr>
              <w:t>条</w:t>
            </w:r>
            <w:bookmarkStart w:id="2" w:name="tiao_35_kuan_2"/>
            <w:bookmarkEnd w:id="2"/>
            <w:r>
              <w:rPr>
                <w:rFonts w:hint="eastAsia" w:ascii="仿宋_GB2312" w:hAnsi="宋体" w:eastAsia="仿宋_GB2312"/>
                <w:color w:val="000000" w:themeColor="text1"/>
                <w:kern w:val="0"/>
                <w:szCs w:val="21"/>
                <w14:textFill>
                  <w14:solidFill>
                    <w14:schemeClr w14:val="tx1"/>
                  </w14:solidFill>
                </w14:textFill>
              </w:rPr>
              <w:t>第二款</w:t>
            </w:r>
            <w:r>
              <w:rPr>
                <w:rFonts w:ascii="仿宋_GB2312" w:hAnsi="宋体" w:eastAsia="仿宋_GB2312"/>
                <w:color w:val="000000" w:themeColor="text1"/>
                <w:kern w:val="0"/>
                <w:szCs w:val="21"/>
                <w14:textFill>
                  <w14:solidFill>
                    <w14:schemeClr w14:val="tx1"/>
                  </w14:solidFill>
                </w14:textFill>
              </w:rPr>
              <w:t>以欺骗等不正手段，登记为轮候对象或者承租公共租赁住房的，由市、县级人民政府住房保障主管部门处以1000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八条第一款申请人应当根据市、县级人民政府住房保障主管部门的规定，提交申请材料，并对申请材料的真实性负责。申请人应当书面同意市、县级人民政府住房保障主管部门核实其申报信息。</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"http://210.45.210.34:8000/rwt/189/https/P75YPLURNN4XZZLYF3SX85B/chl/javascript:void(0);"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以欺骗等不正当手段登记为轮候对象，但未承租公共租赁住房的。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取消其轮候登记。</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color w:val="000000" w:themeColor="text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color w:val="000000" w:themeColor="text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color w:val="000000" w:themeColor="text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以欺骗等不正当手段承租公共租赁住房，在限期内能退回所承租公共租赁住房，并按市场价格补缴租金的。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处以5百元以下罚款。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以欺骗等不正当手段承租公共租赁住房，逾期不退回或逾期不按市场价格补缴租金，造成恶劣社会影响的。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处以5百元以上1千元以下罚款。</w:t>
            </w:r>
            <w:r>
              <w:rPr>
                <w:rFonts w:ascii="仿宋_GB2312" w:hAnsi="宋体" w:eastAsia="仿宋_GB2312"/>
                <w:color w:val="000000" w:themeColor="text1"/>
                <w:kern w:val="0"/>
                <w:szCs w:val="21"/>
                <w14:textFill>
                  <w14:solidFill>
                    <w14:schemeClr w14:val="tx1"/>
                  </w14:solidFill>
                </w14:textFill>
              </w:rPr>
              <w:t>可以依法申请人民法院强制执行，</w:t>
            </w:r>
            <w:r>
              <w:rPr>
                <w:rFonts w:hint="eastAsia" w:ascii="仿宋_GB2312" w:hAnsi="宋体" w:eastAsia="仿宋_GB2312"/>
                <w:color w:val="000000" w:themeColor="text1"/>
                <w:kern w:val="0"/>
                <w:szCs w:val="21"/>
                <w14:textFill>
                  <w14:solidFill>
                    <w14:schemeClr w14:val="tx1"/>
                  </w14:solidFill>
                </w14:textFill>
              </w:rPr>
              <w:t>承租人自退回公共租赁住房之日起五年内不得再次申请公共租赁住房。</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340</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承租人转借、转租或者擅自调换所承租公共租赁住房的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《公共租赁住房管理办法》第二十七条第一款第一项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《公共租赁住房管理办法》第三十六条第一款第一项：</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（一）转借、转租或者擅自调换所承租公共租赁住房的；</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第二款有前款所列行为，承租人自退回公共租赁住房之日起五年内不得再次申请公共租赁住房；造成损失的，依法承担赔偿责任。</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《公共租赁住房管理办法》第二十七条第一款第一项</w:t>
            </w:r>
            <w:r>
              <w:rPr>
                <w:rFonts w:ascii="仿宋_GB2312" w:hAnsi="宋体" w:eastAsia="仿宋_GB2312"/>
                <w:color w:val="000000" w:themeColor="text1"/>
                <w:kern w:val="0"/>
                <w:szCs w:val="21"/>
                <w14:textFill>
                  <w14:solidFill>
                    <w14:schemeClr w14:val="tx1"/>
                  </w14:solidFill>
                </w14:textFill>
              </w:rPr>
              <w:t>　承租人有下列行为之一的，应当退回公共租赁住房：</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（一）转借、转租或者擅自调换所承租公共租赁住房的；</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（1）经责令停止违法行为后，继续实施违法行为的；（2）足以影响房地产市场秩序和社会稳定的。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341</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承租人改变所承租公共租赁住房用途的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《公共租赁住房管理办法》第二十七条第一款第二项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《公共租赁住房管理办法》第三十六条第一款第二项：</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（二）改变所承租公共租赁住房用途的；</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第二款有前款所列行为，承租人自退回公共租赁住房之日起五年内不得再次申请公共租</w:t>
            </w:r>
            <w:r>
              <w:rPr>
                <w:rFonts w:hint="eastAsia" w:ascii="仿宋_GB2312" w:hAnsi="宋体" w:eastAsia="仿宋_GB2312"/>
                <w:color w:val="000000" w:themeColor="text1"/>
                <w:kern w:val="0"/>
                <w:szCs w:val="21"/>
                <w14:textFill>
                  <w14:solidFill>
                    <w14:schemeClr w14:val="tx1"/>
                  </w14:solidFill>
                </w14:textFill>
              </w:rPr>
              <w:t>赁住房；造成损失的，依法承担赔偿责任。</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《公共租赁住房管理办法》第二十七条第一款第二项</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承租人有下列行为之一的，应当退回公共租赁住房：</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（二）改变所承租公共租赁住房用途的；</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（1）经责令停止违法行为后，继续实施违法行为的；（2）足以影响房地产市场秩序和社会稳定的。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342</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承租人破坏或者擅自装修所承租公共租赁住房，拒不恢复原状的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《公共租赁住房管理办法》第二十七条第一款第三项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《公共租赁住房管理办法》第三十六条第一款第三项：</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（三）破坏或者擅自装修所承租公共租赁住房，拒不恢复原状的</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第二款有前款所列行为，承租人自退回公共租赁住房之日起五年内不得再次申请公共租赁住房；造成损失的，依法承担赔偿责任。</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《公共租赁住房管理办法》第二十七条第一款第三项</w:t>
            </w:r>
            <w:r>
              <w:rPr>
                <w:rFonts w:ascii="仿宋_GB2312" w:hAnsi="宋体" w:eastAsia="仿宋_GB2312"/>
                <w:color w:val="000000" w:themeColor="text1"/>
                <w:kern w:val="0"/>
                <w:szCs w:val="21"/>
                <w14:textFill>
                  <w14:solidFill>
                    <w14:schemeClr w14:val="tx1"/>
                  </w14:solidFill>
                </w14:textFill>
              </w:rPr>
              <w:t>承租人有下列行为之一的，应当退回公共租赁住房：</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（三）破坏或者擅自装修所承租公共租赁住房，拒不恢复原状的；</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（1）经责令停止违法行为后，继续实施违法行为的；（2）足以影响房地产市场秩序和社会稳定的。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343</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承租人在公共租赁住房内从事违法活动的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《公共租赁住房管理办法》第二十七条第一款第四项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《公共租赁住房管理办法》第三十六条第一款第四项：</w:t>
            </w:r>
          </w:p>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（四）在公共租赁住房内从事违法活动的；</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第二款有前款所列行为，承租人自退回公共租赁住房之日起五年内不得再次申请公共租赁住房；造成损失的，依法承担赔偿责任。</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《公共租赁住房管理办法》第二十七条第一款第四项</w:t>
            </w:r>
            <w:r>
              <w:rPr>
                <w:rFonts w:ascii="仿宋_GB2312" w:hAnsi="宋体" w:eastAsia="仿宋_GB2312"/>
                <w:color w:val="000000" w:themeColor="text1"/>
                <w:kern w:val="0"/>
                <w:szCs w:val="21"/>
                <w14:textFill>
                  <w14:solidFill>
                    <w14:schemeClr w14:val="tx1"/>
                  </w14:solidFill>
                </w14:textFill>
              </w:rPr>
              <w:t>承租人有下列行为之一的，应当退回公共租赁住房：</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（四）在公共租赁住房内从事违法活动的；</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（1）经责令停止违法行为后，继续实施违法行为的；（2）足以影响房地产市场秩序和社会稳定的。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344</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承租人无正当理由连续6个月以上闲置公共租赁住房的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《公共租赁住房管理办法》第二十七条第一款第五项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《公共租赁住房管理办法》第三十六条第一款第五项：</w:t>
            </w:r>
          </w:p>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（五）无正当理由连续6个月以上闲置公共租赁住房的。</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第二款有前款所列行为，承租人自退回公共租赁住房之日起五年内不得再次申请公共租赁住房；造成损失的，依法承担赔偿责任。</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《公共租赁住房管理办法》第二十七条第一款第五项</w:t>
            </w:r>
            <w:r>
              <w:rPr>
                <w:rFonts w:ascii="仿宋_GB2312" w:hAnsi="宋体" w:eastAsia="仿宋_GB2312"/>
                <w:color w:val="000000" w:themeColor="text1"/>
                <w:kern w:val="0"/>
                <w:szCs w:val="21"/>
                <w14:textFill>
                  <w14:solidFill>
                    <w14:schemeClr w14:val="tx1"/>
                  </w14:solidFill>
                </w14:textFill>
              </w:rPr>
              <w:t>承租人有下列行为之一的，应当退回公共租赁住房：</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（五）无正当理由连续6个月以上闲置公共租赁住房的。</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（1）经责令停止违法行为后，继续实施违法行为的；（2）足以影响房地产市场秩序和社会稳定的。</w:t>
            </w:r>
          </w:p>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345</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房地产经纪机构及其经纪人员提供公共租赁住房出租、转租、出售等经纪业务的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《公共租赁住房管理办法》第三十二条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《公共租赁住房管理办法》第三十七条：</w:t>
            </w:r>
          </w:p>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第三十二条的，依照《房地产经纪管理办法》第三十七条，由县级以上地方人民政府住房城乡建设（房地产）主管部门责令限期改正，记入房地产经纪信用档案；对房地产经纪人员，处以1万元以下罚款；对房地产经纪机构，取消网上签约资格，处以3万元以下罚款。</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《公共租赁住房管理办法》第三十二条房地产经纪机构及其经纪人员不得提供公共租赁住房出租、转租、出售等经纪业务。</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提供公共租赁住房出租、转租、出售等经纪业务1套的。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责令限期改正，记入房地产经纪信用档案，对房地产经纪人员，处以3千元以下罚款；对房地产经纪机构，取消网上签约资格1个月，处以1万元以下罚款。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提供公共租赁住房出租、转租、出售等经纪业务2套的。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责令限期改正，记入房地产经纪信用档案，对房地产经纪人员，处以3千元以上7千元以下罚款；对房地产经纪机构，取消网上签约资格2个月，处以1万元以上2万元以下罚款。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提供公共租赁住房出租、转租、出售等经纪业务3套以上的。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责令限期改正，记入房地产经纪信用档案，对房地产经纪人员，处以7千元以上1万元以下罚款；对房地产经纪机构，取消网上签约资格3个月，处以2万元以上3万元以下罚款。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2"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346</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倒卖、转租公有房屋居间牟利的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《安徽省城镇公有房屋管理办法》</w:t>
            </w:r>
            <w:r>
              <w:rPr>
                <w:rFonts w:ascii="仿宋_GB2312" w:hAnsi="宋体" w:eastAsia="仿宋_GB2312"/>
                <w:color w:val="000000" w:themeColor="text1"/>
                <w:kern w:val="0"/>
                <w:szCs w:val="21"/>
                <w14:textFill>
                  <w14:solidFill>
                    <w14:schemeClr w14:val="tx1"/>
                  </w14:solidFill>
                </w14:textFill>
              </w:rPr>
              <w:t>第四十三条</w:t>
            </w:r>
            <w:r>
              <w:rPr>
                <w:rFonts w:hint="eastAsia" w:ascii="仿宋_GB2312" w:hAnsi="宋体" w:eastAsia="仿宋_GB2312"/>
                <w:color w:val="000000" w:themeColor="text1"/>
                <w:kern w:val="0"/>
                <w:szCs w:val="21"/>
                <w14:textFill>
                  <w14:solidFill>
                    <w14:schemeClr w14:val="tx1"/>
                  </w14:solidFill>
                </w14:textFill>
              </w:rPr>
              <w:t>第一款第三项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《安徽省城镇公有房屋管理办法》</w:t>
            </w:r>
            <w:r>
              <w:rPr>
                <w:rFonts w:ascii="仿宋_GB2312" w:hAnsi="宋体" w:eastAsia="仿宋_GB2312"/>
                <w:color w:val="000000" w:themeColor="text1"/>
                <w:kern w:val="0"/>
                <w:szCs w:val="21"/>
                <w14:textFill>
                  <w14:solidFill>
                    <w14:schemeClr w14:val="tx1"/>
                  </w14:solidFill>
                </w14:textFill>
              </w:rPr>
              <w:t>第四十三条</w:t>
            </w:r>
            <w:r>
              <w:rPr>
                <w:rFonts w:hint="eastAsia" w:ascii="仿宋_GB2312" w:hAnsi="宋体" w:eastAsia="仿宋_GB2312"/>
                <w:color w:val="000000" w:themeColor="text1"/>
                <w:kern w:val="0"/>
                <w:szCs w:val="21"/>
                <w14:textFill>
                  <w14:solidFill>
                    <w14:schemeClr w14:val="tx1"/>
                  </w14:solidFill>
                </w14:textFill>
              </w:rPr>
              <w:t>第一款第三项</w:t>
            </w:r>
            <w:r>
              <w:rPr>
                <w:rFonts w:ascii="仿宋_GB2312" w:hAnsi="宋体" w:eastAsia="仿宋_GB2312"/>
                <w:color w:val="000000" w:themeColor="text1"/>
                <w:kern w:val="0"/>
                <w:szCs w:val="21"/>
                <w14:textFill>
                  <w14:solidFill>
                    <w14:schemeClr w14:val="tx1"/>
                  </w14:solidFill>
                </w14:textFill>
              </w:rPr>
              <w:t>违反本办法的单位和个人，由房管部门会同有关部门分别按以下情况进行处理：</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（三）倒卖、转租公有房屋居间牟利的，收回房屋，没收非法所得，并处以非法所得一至五倍的罚款</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没收非法所得</w:t>
            </w:r>
            <w:r>
              <w:rPr>
                <w:rFonts w:hint="eastAsia" w:ascii="仿宋_GB2312" w:hAnsi="宋体" w:eastAsia="仿宋_GB2312"/>
                <w:color w:val="000000" w:themeColor="text1"/>
                <w:kern w:val="0"/>
                <w:szCs w:val="21"/>
                <w14:textFill>
                  <w14:solidFill>
                    <w14:schemeClr w14:val="tx1"/>
                  </w14:solidFill>
                </w14:textFill>
              </w:rPr>
              <w:t>，并处以</w:t>
            </w:r>
            <w:r>
              <w:rPr>
                <w:rFonts w:ascii="仿宋_GB2312" w:hAnsi="宋体" w:eastAsia="仿宋_GB2312"/>
                <w:color w:val="000000" w:themeColor="text1"/>
                <w:kern w:val="0"/>
                <w:szCs w:val="21"/>
                <w14:textFill>
                  <w14:solidFill>
                    <w14:schemeClr w14:val="tx1"/>
                  </w14:solidFill>
                </w14:textFill>
              </w:rPr>
              <w:t>非法所得</w:t>
            </w:r>
            <w:r>
              <w:rPr>
                <w:rFonts w:hint="eastAsia" w:ascii="仿宋_GB2312" w:hAnsi="宋体" w:eastAsia="仿宋_GB2312"/>
                <w:color w:val="000000" w:themeColor="text1"/>
                <w:kern w:val="0"/>
                <w:szCs w:val="21"/>
                <w14:textFill>
                  <w14:solidFill>
                    <w14:schemeClr w14:val="tx1"/>
                  </w14:solidFill>
                </w14:textFill>
              </w:rPr>
              <w:t>1倍罚款。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color w:val="000000" w:themeColor="text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color w:val="000000" w:themeColor="text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color w:val="000000" w:themeColor="text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没收非法所得，并处以非法所得</w:t>
            </w:r>
            <w:r>
              <w:rPr>
                <w:rFonts w:hint="eastAsia" w:ascii="仿宋_GB2312" w:hAnsi="宋体" w:eastAsia="仿宋_GB2312"/>
                <w:color w:val="000000" w:themeColor="text1"/>
                <w:kern w:val="0"/>
                <w:szCs w:val="21"/>
                <w14:textFill>
                  <w14:solidFill>
                    <w14:schemeClr w14:val="tx1"/>
                  </w14:solidFill>
                </w14:textFill>
              </w:rPr>
              <w:t>1倍以上2.5</w:t>
            </w:r>
            <w:r>
              <w:rPr>
                <w:rFonts w:ascii="仿宋_GB2312" w:hAnsi="宋体" w:eastAsia="仿宋_GB2312"/>
                <w:color w:val="000000" w:themeColor="text1"/>
                <w:kern w:val="0"/>
                <w:szCs w:val="21"/>
                <w14:textFill>
                  <w14:solidFill>
                    <w14:schemeClr w14:val="tx1"/>
                  </w14:solidFill>
                </w14:textFill>
              </w:rPr>
              <w:t>倍</w:t>
            </w:r>
            <w:r>
              <w:rPr>
                <w:rFonts w:hint="eastAsia" w:ascii="仿宋_GB2312" w:hAnsi="宋体" w:eastAsia="仿宋_GB2312"/>
                <w:color w:val="000000" w:themeColor="text1"/>
                <w:kern w:val="0"/>
                <w:szCs w:val="21"/>
                <w14:textFill>
                  <w14:solidFill>
                    <w14:schemeClr w14:val="tx1"/>
                  </w14:solidFill>
                </w14:textFill>
              </w:rPr>
              <w:t>以下</w:t>
            </w:r>
            <w:r>
              <w:rPr>
                <w:rFonts w:ascii="仿宋_GB2312" w:hAnsi="宋体" w:eastAsia="仿宋_GB2312"/>
                <w:color w:val="000000" w:themeColor="text1"/>
                <w:kern w:val="0"/>
                <w:szCs w:val="21"/>
                <w14:textFill>
                  <w14:solidFill>
                    <w14:schemeClr w14:val="tx1"/>
                  </w14:solidFill>
                </w14:textFill>
              </w:rPr>
              <w:t>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137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没收非法所得，并处以非法所得</w:t>
            </w:r>
            <w:r>
              <w:rPr>
                <w:rFonts w:hint="eastAsia" w:ascii="仿宋_GB2312" w:hAnsi="宋体" w:eastAsia="仿宋_GB2312"/>
                <w:color w:val="000000" w:themeColor="text1"/>
                <w:kern w:val="0"/>
                <w:szCs w:val="21"/>
                <w14:textFill>
                  <w14:solidFill>
                    <w14:schemeClr w14:val="tx1"/>
                  </w14:solidFill>
                </w14:textFill>
              </w:rPr>
              <w:t>2.5倍以上5</w:t>
            </w:r>
            <w:r>
              <w:rPr>
                <w:rFonts w:ascii="仿宋_GB2312" w:hAnsi="宋体" w:eastAsia="仿宋_GB2312"/>
                <w:color w:val="000000" w:themeColor="text1"/>
                <w:kern w:val="0"/>
                <w:szCs w:val="21"/>
                <w14:textFill>
                  <w14:solidFill>
                    <w14:schemeClr w14:val="tx1"/>
                  </w14:solidFill>
                </w14:textFill>
              </w:rPr>
              <w:t>倍</w:t>
            </w:r>
            <w:r>
              <w:rPr>
                <w:rFonts w:hint="eastAsia" w:ascii="仿宋_GB2312" w:hAnsi="宋体" w:eastAsia="仿宋_GB2312"/>
                <w:color w:val="000000" w:themeColor="text1"/>
                <w:kern w:val="0"/>
                <w:szCs w:val="21"/>
                <w14:textFill>
                  <w14:solidFill>
                    <w14:schemeClr w14:val="tx1"/>
                  </w14:solidFill>
                </w14:textFill>
              </w:rPr>
              <w:t>以下</w:t>
            </w:r>
            <w:r>
              <w:rPr>
                <w:rFonts w:ascii="仿宋_GB2312" w:hAnsi="宋体" w:eastAsia="仿宋_GB2312"/>
                <w:color w:val="000000" w:themeColor="text1"/>
                <w:kern w:val="0"/>
                <w:szCs w:val="21"/>
                <w14:textFill>
                  <w14:solidFill>
                    <w14:schemeClr w14:val="tx1"/>
                  </w14:solidFill>
                </w14:textFill>
              </w:rPr>
              <w:t>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347</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公有房屋隐瞒买卖价格和房租标准的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《安徽省城镇公有房屋管理办法》第二十六条，第三十六条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《安徽省城镇公有房屋管理办法》</w:t>
            </w:r>
            <w:r>
              <w:rPr>
                <w:rFonts w:ascii="仿宋_GB2312" w:hAnsi="宋体" w:eastAsia="仿宋_GB2312"/>
                <w:color w:val="000000" w:themeColor="text1"/>
                <w:kern w:val="0"/>
                <w:szCs w:val="21"/>
                <w14:textFill>
                  <w14:solidFill>
                    <w14:schemeClr w14:val="tx1"/>
                  </w14:solidFill>
                </w14:textFill>
              </w:rPr>
              <w:t>第四十</w:t>
            </w:r>
            <w:r>
              <w:rPr>
                <w:rFonts w:hint="eastAsia" w:ascii="仿宋_GB2312" w:hAnsi="宋体" w:eastAsia="仿宋_GB2312"/>
                <w:color w:val="000000" w:themeColor="text1"/>
                <w:kern w:val="0"/>
                <w:szCs w:val="21"/>
                <w14:textFill>
                  <w14:solidFill>
                    <w14:schemeClr w14:val="tx1"/>
                  </w14:solidFill>
                </w14:textFill>
              </w:rPr>
              <w:t>四</w:t>
            </w:r>
            <w:r>
              <w:rPr>
                <w:rFonts w:ascii="仿宋_GB2312" w:hAnsi="宋体" w:eastAsia="仿宋_GB2312"/>
                <w:color w:val="000000" w:themeColor="text1"/>
                <w:kern w:val="0"/>
                <w:szCs w:val="21"/>
                <w14:textFill>
                  <w14:solidFill>
                    <w14:schemeClr w14:val="tx1"/>
                  </w14:solidFill>
                </w14:textFill>
              </w:rPr>
              <w:t>条</w:t>
            </w:r>
            <w:r>
              <w:rPr>
                <w:rFonts w:hint="eastAsia" w:ascii="仿宋_GB2312" w:hAnsi="宋体" w:eastAsia="仿宋_GB2312"/>
                <w:color w:val="000000" w:themeColor="text1"/>
                <w:kern w:val="0"/>
                <w:szCs w:val="21"/>
                <w14:textFill>
                  <w14:solidFill>
                    <w14:schemeClr w14:val="tx1"/>
                  </w14:solidFill>
                </w14:textFill>
              </w:rPr>
              <w:t>违反本办法第二十六条、第三十六条规定，隐瞒买卖价格和房租标准的，市、县房管部门可没收其成交价格和所报价格之间的差价金额，并可按差价金额的一至五倍处以罚款，由买卖双方根据责任大小分别承担。</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第二十六条公有住宅用房的租金标准，由各市、县房管部门和物价部门根据国家政策和当地实际情况确定。国家和省有统一标准时，执行统一标准。</w:t>
            </w:r>
          </w:p>
          <w:p>
            <w:pPr>
              <w:widowControl/>
              <w:spacing w:line="240" w:lineRule="auto"/>
              <w:textAlignment w:val="center"/>
              <w:rPr>
                <w:rFonts w:ascii="Arial" w:hAnsi="Arial" w:cs="Arial"/>
                <w:color w:val="000000" w:themeColor="text1"/>
                <w:sz w:val="14"/>
                <w:szCs w:val="14"/>
                <w:shd w:val="clear" w:color="auto" w:fill="FFFFFF"/>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第三十六条公有房屋的买卖价格，应按国家规定评估作价，报所在市、县房管部门批准，并报同级国有资产管理部门确认。对旧房可规定最高限价，超出限价的部分征收超标费。</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没收其成交价格和所报价格之间的差价金额。</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0"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color w:val="000000" w:themeColor="text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color w:val="000000" w:themeColor="text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color w:val="000000" w:themeColor="text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没收其成交价格和所报价格之间的差价金额，并可按差价金额的1倍以上3倍以下处以罚款。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0"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没收其成交价格和所报价格之间的差价金额，并可按差价金额的3倍以上5倍以下处以罚款。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348</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将不准上市出售的已购公有住房和经济适用住房上市出售的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《已购公有住房和经济适用住房上市出售管理暂行办法》第五条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《已购公有住房和经济适用住房上市出售管理暂行办法》第十四条违反本办法第五条的规定，将不准上市出售的已购公有住房和经济适用住房上市出售的，处以１００００元以上３００００元以下罚款。</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第五条</w:t>
            </w:r>
            <w:bookmarkStart w:id="3" w:name="tiao_5_kuan_1"/>
            <w:bookmarkEnd w:id="3"/>
            <w:r>
              <w:rPr>
                <w:rFonts w:ascii="仿宋_GB2312" w:hAnsi="宋体" w:eastAsia="仿宋_GB2312"/>
                <w:color w:val="000000" w:themeColor="text1"/>
                <w:kern w:val="0"/>
                <w:szCs w:val="21"/>
                <w14:textFill>
                  <w14:solidFill>
                    <w14:schemeClr w14:val="tx1"/>
                  </w14:solidFill>
                </w14:textFill>
              </w:rPr>
              <w:t>　已取得合法产权证书的已购公有住房和经济适用住房可以上市出售，但有下列情形之一的已购公有住房和经济适用住房不得上市出售：</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"http://210.45.210.34:8000/rwt/189/https/P75YPLURNN4XZZLYF3SX85B/chl/javascript:void(0);"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bookmarkStart w:id="4" w:name="tiao_5_kuan_1_xiang_1"/>
            <w:bookmarkEnd w:id="4"/>
            <w:r>
              <w:rPr>
                <w:rFonts w:ascii="仿宋_GB2312" w:hAnsi="宋体" w:eastAsia="仿宋_GB2312"/>
                <w:color w:val="000000" w:themeColor="text1"/>
                <w:kern w:val="0"/>
                <w:szCs w:val="21"/>
                <w14:textFill>
                  <w14:solidFill>
                    <w14:schemeClr w14:val="tx1"/>
                  </w14:solidFill>
                </w14:textFill>
              </w:rPr>
              <w:t>（一）以低于房改政策规定的价格购买且没有按照规定补足房价款的；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"http://210.45.210.34:8000/rwt/189/https/P75YPLURNN4XZZLYF3SX85B/chl/javascript:void(0);"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bookmarkStart w:id="5" w:name="tiao_5_kuan_1_xiang_2"/>
            <w:bookmarkEnd w:id="5"/>
            <w:r>
              <w:rPr>
                <w:rFonts w:ascii="仿宋_GB2312" w:hAnsi="宋体" w:eastAsia="仿宋_GB2312"/>
                <w:color w:val="000000" w:themeColor="text1"/>
                <w:kern w:val="0"/>
                <w:szCs w:val="21"/>
                <w14:textFill>
                  <w14:solidFill>
                    <w14:schemeClr w14:val="tx1"/>
                  </w14:solidFill>
                </w14:textFill>
              </w:rPr>
              <w:t>（二）住房面积超过省、自治区、直辖市人民政府规定的控制标准，或者违反规定利用公款超标准装修，且超标部分未按照规定退回或者补足房价款及装修费用的；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"http://210.45.210.34:8000/rwt/189/https/P75YPLURNN4XZZLYF3SX85B/chl/javascript:void(0);"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bookmarkStart w:id="6" w:name="tiao_5_kuan_1_xiang_3"/>
            <w:bookmarkEnd w:id="6"/>
            <w:r>
              <w:rPr>
                <w:rFonts w:ascii="仿宋_GB2312" w:hAnsi="宋体" w:eastAsia="仿宋_GB2312"/>
                <w:color w:val="000000" w:themeColor="text1"/>
                <w:kern w:val="0"/>
                <w:szCs w:val="21"/>
                <w14:textFill>
                  <w14:solidFill>
                    <w14:schemeClr w14:val="tx1"/>
                  </w14:solidFill>
                </w14:textFill>
              </w:rPr>
              <w:t>（三）处于户籍冻结地区并已列入拆迁公告范围内的；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"http://210.45.210.34:8000/rwt/189/https/P75YPLURNN4XZZLYF3SX85B/chl/javascript:void(0);"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bookmarkStart w:id="7" w:name="tiao_5_kuan_1_xiang_4"/>
            <w:bookmarkEnd w:id="7"/>
            <w:r>
              <w:rPr>
                <w:rFonts w:ascii="仿宋_GB2312" w:hAnsi="宋体" w:eastAsia="仿宋_GB2312"/>
                <w:color w:val="000000" w:themeColor="text1"/>
                <w:kern w:val="0"/>
                <w:szCs w:val="21"/>
                <w14:textFill>
                  <w14:solidFill>
                    <w14:schemeClr w14:val="tx1"/>
                  </w14:solidFill>
                </w14:textFill>
              </w:rPr>
              <w:t>（四）产权共有的房屋，其他共有人不同意出售的；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"http://210.45.210.34:8000/rwt/189/https/P75YPLURNN4XZZLYF3SX85B/chl/javascript:void(0);"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bookmarkStart w:id="8" w:name="tiao_5_kuan_1_xiang_5"/>
            <w:bookmarkEnd w:id="8"/>
            <w:r>
              <w:rPr>
                <w:rFonts w:ascii="仿宋_GB2312" w:hAnsi="宋体" w:eastAsia="仿宋_GB2312"/>
                <w:color w:val="000000" w:themeColor="text1"/>
                <w:kern w:val="0"/>
                <w:szCs w:val="21"/>
                <w14:textFill>
                  <w14:solidFill>
                    <w14:schemeClr w14:val="tx1"/>
                  </w14:solidFill>
                </w14:textFill>
              </w:rPr>
              <w:t>（五）已抵押且未经抵押权人书面同意转让的；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"http://210.45.210.34:8000/rwt/189/https/P75YPLURNN4XZZLYF3SX85B/chl/javascript:void(0);"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bookmarkStart w:id="9" w:name="tiao_5_kuan_1_xiang_6"/>
            <w:bookmarkEnd w:id="9"/>
            <w:r>
              <w:rPr>
                <w:rFonts w:ascii="仿宋_GB2312" w:hAnsi="宋体" w:eastAsia="仿宋_GB2312"/>
                <w:color w:val="000000" w:themeColor="text1"/>
                <w:kern w:val="0"/>
                <w:szCs w:val="21"/>
                <w14:textFill>
                  <w14:solidFill>
                    <w14:schemeClr w14:val="tx1"/>
                  </w14:solidFill>
                </w14:textFill>
              </w:rPr>
              <w:t>（六）上市出售后形成新的住房困难的；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"http://210.45.210.34:8000/rwt/189/https/P75YPLURNN4XZZLYF3SX85B/chl/javascript:void(0);"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bookmarkStart w:id="10" w:name="tiao_5_kuan_1_xiang_7"/>
            <w:bookmarkEnd w:id="10"/>
            <w:r>
              <w:rPr>
                <w:rFonts w:ascii="仿宋_GB2312" w:hAnsi="宋体" w:eastAsia="仿宋_GB2312"/>
                <w:color w:val="000000" w:themeColor="text1"/>
                <w:kern w:val="0"/>
                <w:szCs w:val="21"/>
                <w14:textFill>
                  <w14:solidFill>
                    <w14:schemeClr w14:val="tx1"/>
                  </w14:solidFill>
                </w14:textFill>
              </w:rPr>
              <w:t>（七）擅自改变房屋使用性质的；</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bookmarkStart w:id="11" w:name="tiao_5_kuan_1_xiang_8"/>
            <w:bookmarkEnd w:id="11"/>
            <w:r>
              <w:rPr>
                <w:rFonts w:ascii="仿宋_GB2312" w:hAnsi="宋体" w:eastAsia="仿宋_GB2312"/>
                <w:color w:val="000000" w:themeColor="text1"/>
                <w:kern w:val="0"/>
                <w:szCs w:val="21"/>
                <w14:textFill>
                  <w14:solidFill>
                    <w14:schemeClr w14:val="tx1"/>
                  </w14:solidFill>
                </w14:textFill>
              </w:rPr>
              <w:t>（八）法律、法规以及县级以上人民政府规定其他不宜出售的。</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违法所得10万元以下的。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没收违法所得，并处1万元以上1.5元以下的罚款。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color w:val="000000" w:themeColor="text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color w:val="000000" w:themeColor="text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color w:val="000000" w:themeColor="text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违法所得10万元以上30万元以下的。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违法所得30万元以上的。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7" w:hRule="atLeast"/>
          <w:jc w:val="center"/>
        </w:trPr>
        <w:tc>
          <w:tcPr>
            <w:tcW w:w="581" w:type="dxa"/>
            <w:gridSpan w:val="3"/>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349</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将已购公有住房和经济适用住房上市出售后，该户家庭又以非法手段按照成本价（或者标准价）购买公有住房或者政府提供优惠政策建设的住房的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《已购公有住房和经济适用住房上市出售管理暂行办法》第十三条，《安徽省职工所购公有住房上市交易管理暂行办法》第十七条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《已购公有住房和经济适用住房上市出售管理暂行办法》第十五条</w:t>
            </w:r>
            <w:r>
              <w:rPr>
                <w:rFonts w:ascii="仿宋_GB2312" w:hAnsi="宋体" w:eastAsia="仿宋_GB2312"/>
                <w:color w:val="000000" w:themeColor="text1"/>
                <w:kern w:val="0"/>
                <w:szCs w:val="21"/>
                <w14:textFill>
                  <w14:solidFill>
                    <w14:schemeClr w14:val="tx1"/>
                  </w14:solidFill>
                </w14:textFill>
              </w:rPr>
              <w:t>违反本办法第十三条的规定，将已购公有住房和经济适用住房上市出售后，该户家庭又以非法手段按照成本价（或者标准价）购买公有住房或者政府提供优惠政策建设的住房的，由房地产行政主管部门责令退回所购房屋，不予办理产权登记手续，并处以10000元以上30000元以下罚款；或者按照商品房市场价格补齐房价款，并处以10000元以上30000元以下罚款。</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《安徽省职工所购公有住房上市交易管理暂行办法》第十七条职工所购公有住房上市交易后，不得再向所在单位申请分配住房和按照房改政策或者按照国家优惠政策购买条承租公有住房。</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《已购公有住房和经济适用住房上市出售管理暂行办法》</w:t>
            </w:r>
            <w:r>
              <w:rPr>
                <w:rFonts w:ascii="仿宋_GB2312" w:hAnsi="宋体" w:eastAsia="仿宋_GB2312"/>
                <w:color w:val="000000" w:themeColor="text1"/>
                <w:kern w:val="0"/>
                <w:szCs w:val="21"/>
                <w14:textFill>
                  <w14:solidFill>
                    <w14:schemeClr w14:val="tx1"/>
                  </w14:solidFill>
                </w14:textFill>
              </w:rPr>
              <w:t>第十三条</w:t>
            </w:r>
            <w:bookmarkStart w:id="12" w:name="tiao_13_kuan_1"/>
            <w:bookmarkEnd w:id="12"/>
            <w:r>
              <w:rPr>
                <w:rFonts w:ascii="仿宋_GB2312" w:hAnsi="宋体" w:eastAsia="仿宋_GB2312"/>
                <w:color w:val="000000" w:themeColor="text1"/>
                <w:kern w:val="0"/>
                <w:szCs w:val="21"/>
                <w14:textFill>
                  <w14:solidFill>
                    <w14:schemeClr w14:val="tx1"/>
                  </w14:solidFill>
                </w14:textFill>
              </w:rPr>
              <w:t>已购公有住房和经济适用住房上市出售后，该户家庭不得再按照成本价或者标准价购买公有住房，也不得再购买经济适用住房等政府提供优惠政策建设的住房。</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bookmarkStart w:id="13" w:name="tiao_15_kuan_1"/>
            <w:bookmarkEnd w:id="13"/>
            <w:r>
              <w:rPr>
                <w:rFonts w:hint="eastAsia" w:ascii="仿宋_GB2312" w:hAnsi="宋体" w:eastAsia="仿宋_GB2312"/>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住房</w:t>
            </w:r>
            <w:r>
              <w:rPr>
                <w:rFonts w:hint="eastAsia" w:ascii="仿宋_GB2312" w:hAnsi="宋体" w:eastAsia="仿宋_GB2312"/>
                <w:color w:val="000000" w:themeColor="text1"/>
                <w:kern w:val="0"/>
                <w:szCs w:val="21"/>
                <w14:textFill>
                  <w14:solidFill>
                    <w14:schemeClr w14:val="tx1"/>
                  </w14:solidFill>
                </w14:textFill>
              </w:rPr>
              <w:t>的市场价格与购买（建设）价格之间的价差在10万</w:t>
            </w:r>
            <w:r>
              <w:rPr>
                <w:rFonts w:ascii="仿宋_GB2312" w:hAnsi="宋体" w:eastAsia="仿宋_GB2312"/>
                <w:color w:val="000000" w:themeColor="text1"/>
                <w:kern w:val="0"/>
                <w:szCs w:val="21"/>
                <w14:textFill>
                  <w14:solidFill>
                    <w14:schemeClr w14:val="tx1"/>
                  </w14:solidFill>
                </w14:textFill>
              </w:rPr>
              <w:t>元</w:t>
            </w:r>
            <w:r>
              <w:rPr>
                <w:rFonts w:hint="eastAsia" w:ascii="仿宋_GB2312" w:hAnsi="宋体" w:eastAsia="仿宋_GB2312"/>
                <w:color w:val="000000" w:themeColor="text1"/>
                <w:kern w:val="0"/>
                <w:szCs w:val="21"/>
                <w14:textFill>
                  <w14:solidFill>
                    <w14:schemeClr w14:val="tx1"/>
                  </w14:solidFill>
                </w14:textFill>
              </w:rPr>
              <w:t>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责令退回所购房屋，不予办理产权登记手续</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1万</w:t>
            </w:r>
            <w:r>
              <w:rPr>
                <w:rFonts w:ascii="仿宋_GB2312" w:hAnsi="宋体" w:eastAsia="仿宋_GB2312"/>
                <w:color w:val="000000" w:themeColor="text1"/>
                <w:kern w:val="0"/>
                <w:szCs w:val="21"/>
                <w14:textFill>
                  <w14:solidFill>
                    <w14:schemeClr w14:val="tx1"/>
                  </w14:solidFill>
                </w14:textFill>
              </w:rPr>
              <w:t>元以上</w:t>
            </w:r>
            <w:r>
              <w:rPr>
                <w:rFonts w:hint="eastAsia" w:ascii="仿宋_GB2312" w:hAnsi="宋体" w:eastAsia="仿宋_GB2312"/>
                <w:color w:val="000000" w:themeColor="text1"/>
                <w:kern w:val="0"/>
                <w:szCs w:val="21"/>
                <w14:textFill>
                  <w14:solidFill>
                    <w14:schemeClr w14:val="tx1"/>
                  </w14:solidFill>
                </w14:textFill>
              </w:rPr>
              <w:t>1.5万</w:t>
            </w:r>
            <w:r>
              <w:rPr>
                <w:rFonts w:ascii="仿宋_GB2312" w:hAnsi="宋体" w:eastAsia="仿宋_GB2312"/>
                <w:color w:val="000000" w:themeColor="text1"/>
                <w:kern w:val="0"/>
                <w:szCs w:val="21"/>
                <w14:textFill>
                  <w14:solidFill>
                    <w14:schemeClr w14:val="tx1"/>
                  </w14:solidFill>
                </w14:textFill>
              </w:rPr>
              <w:t>元以下的罚款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或者按照商品房市场价格补交房价款，并处以 1</w:t>
            </w:r>
            <w:r>
              <w:rPr>
                <w:rFonts w:hint="eastAsia" w:ascii="仿宋_GB2312" w:hAnsi="宋体" w:eastAsia="仿宋_GB2312"/>
                <w:color w:val="000000" w:themeColor="text1"/>
                <w:kern w:val="0"/>
                <w:szCs w:val="21"/>
                <w14:textFill>
                  <w14:solidFill>
                    <w14:schemeClr w14:val="tx1"/>
                  </w14:solidFill>
                </w14:textFill>
              </w:rPr>
              <w:t>万</w:t>
            </w:r>
            <w:r>
              <w:rPr>
                <w:rFonts w:ascii="仿宋_GB2312" w:hAnsi="宋体" w:eastAsia="仿宋_GB2312"/>
                <w:color w:val="000000" w:themeColor="text1"/>
                <w:kern w:val="0"/>
                <w:szCs w:val="21"/>
                <w14:textFill>
                  <w14:solidFill>
                    <w14:schemeClr w14:val="tx1"/>
                  </w14:solidFill>
                </w14:textFill>
              </w:rPr>
              <w:t>元以上</w:t>
            </w:r>
            <w:r>
              <w:rPr>
                <w:rFonts w:hint="eastAsia" w:ascii="仿宋_GB2312" w:hAnsi="宋体" w:eastAsia="仿宋_GB2312"/>
                <w:color w:val="000000" w:themeColor="text1"/>
                <w:kern w:val="0"/>
                <w:szCs w:val="21"/>
                <w14:textFill>
                  <w14:solidFill>
                    <w14:schemeClr w14:val="tx1"/>
                  </w14:solidFill>
                </w14:textFill>
              </w:rPr>
              <w:t>1.5万</w:t>
            </w:r>
            <w:r>
              <w:rPr>
                <w:rFonts w:ascii="仿宋_GB2312" w:hAnsi="宋体" w:eastAsia="仿宋_GB2312"/>
                <w:color w:val="000000" w:themeColor="text1"/>
                <w:kern w:val="0"/>
                <w:szCs w:val="21"/>
                <w14:textFill>
                  <w14:solidFill>
                    <w14:schemeClr w14:val="tx1"/>
                  </w14:solidFill>
                </w14:textFill>
              </w:rPr>
              <w:t>元以下罚款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7"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color w:val="000000" w:themeColor="text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住房</w:t>
            </w:r>
            <w:r>
              <w:rPr>
                <w:rFonts w:hint="eastAsia" w:ascii="仿宋_GB2312" w:hAnsi="宋体" w:eastAsia="仿宋_GB2312"/>
                <w:color w:val="000000" w:themeColor="text1"/>
                <w:kern w:val="0"/>
                <w:szCs w:val="21"/>
                <w14:textFill>
                  <w14:solidFill>
                    <w14:schemeClr w14:val="tx1"/>
                  </w14:solidFill>
                </w14:textFill>
              </w:rPr>
              <w:t>的市场价格与购买（建设）价格之间的价差在10万以上20万</w:t>
            </w:r>
            <w:r>
              <w:rPr>
                <w:rFonts w:ascii="仿宋_GB2312" w:hAnsi="宋体" w:eastAsia="仿宋_GB2312"/>
                <w:color w:val="000000" w:themeColor="text1"/>
                <w:kern w:val="0"/>
                <w:szCs w:val="21"/>
                <w14:textFill>
                  <w14:solidFill>
                    <w14:schemeClr w14:val="tx1"/>
                  </w14:solidFill>
                </w14:textFill>
              </w:rPr>
              <w:t>元</w:t>
            </w:r>
            <w:r>
              <w:rPr>
                <w:rFonts w:hint="eastAsia" w:ascii="仿宋_GB2312" w:hAnsi="宋体" w:eastAsia="仿宋_GB2312"/>
                <w:color w:val="000000" w:themeColor="text1"/>
                <w:kern w:val="0"/>
                <w:szCs w:val="21"/>
                <w14:textFill>
                  <w14:solidFill>
                    <w14:schemeClr w14:val="tx1"/>
                  </w14:solidFill>
                </w14:textFill>
              </w:rPr>
              <w:t>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责令退回所购房屋，不予办理产权登记手续</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1.5万</w:t>
            </w:r>
            <w:r>
              <w:rPr>
                <w:rFonts w:ascii="仿宋_GB2312" w:hAnsi="宋体" w:eastAsia="仿宋_GB2312"/>
                <w:color w:val="000000" w:themeColor="text1"/>
                <w:kern w:val="0"/>
                <w:szCs w:val="21"/>
                <w14:textFill>
                  <w14:solidFill>
                    <w14:schemeClr w14:val="tx1"/>
                  </w14:solidFill>
                </w14:textFill>
              </w:rPr>
              <w:t>元以上</w:t>
            </w:r>
            <w:r>
              <w:rPr>
                <w:rFonts w:hint="eastAsia" w:ascii="仿宋_GB2312" w:hAnsi="宋体" w:eastAsia="仿宋_GB2312"/>
                <w:color w:val="000000" w:themeColor="text1"/>
                <w:kern w:val="0"/>
                <w:szCs w:val="21"/>
                <w14:textFill>
                  <w14:solidFill>
                    <w14:schemeClr w14:val="tx1"/>
                  </w14:solidFill>
                </w14:textFill>
              </w:rPr>
              <w:t>2.5万</w:t>
            </w:r>
            <w:r>
              <w:rPr>
                <w:rFonts w:ascii="仿宋_GB2312" w:hAnsi="宋体" w:eastAsia="仿宋_GB2312"/>
                <w:color w:val="000000" w:themeColor="text1"/>
                <w:kern w:val="0"/>
                <w:szCs w:val="21"/>
                <w14:textFill>
                  <w14:solidFill>
                    <w14:schemeClr w14:val="tx1"/>
                  </w14:solidFill>
                </w14:textFill>
              </w:rPr>
              <w:t>元以下的罚款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或者按照商品房市场价格补交房价款，并处以 1</w:t>
            </w:r>
            <w:r>
              <w:rPr>
                <w:rFonts w:hint="eastAsia" w:ascii="仿宋_GB2312" w:hAnsi="宋体" w:eastAsia="仿宋_GB2312"/>
                <w:color w:val="000000" w:themeColor="text1"/>
                <w:kern w:val="0"/>
                <w:szCs w:val="21"/>
                <w14:textFill>
                  <w14:solidFill>
                    <w14:schemeClr w14:val="tx1"/>
                  </w14:solidFill>
                </w14:textFill>
              </w:rPr>
              <w:t>.5万</w:t>
            </w:r>
            <w:r>
              <w:rPr>
                <w:rFonts w:ascii="仿宋_GB2312" w:hAnsi="宋体" w:eastAsia="仿宋_GB2312"/>
                <w:color w:val="000000" w:themeColor="text1"/>
                <w:kern w:val="0"/>
                <w:szCs w:val="21"/>
                <w14:textFill>
                  <w14:solidFill>
                    <w14:schemeClr w14:val="tx1"/>
                  </w14:solidFill>
                </w14:textFill>
              </w:rPr>
              <w:t>元以上</w:t>
            </w:r>
            <w:r>
              <w:rPr>
                <w:rFonts w:hint="eastAsia" w:ascii="仿宋_GB2312" w:hAnsi="宋体" w:eastAsia="仿宋_GB2312"/>
                <w:color w:val="000000" w:themeColor="text1"/>
                <w:kern w:val="0"/>
                <w:szCs w:val="21"/>
                <w14:textFill>
                  <w14:solidFill>
                    <w14:schemeClr w14:val="tx1"/>
                  </w14:solidFill>
                </w14:textFill>
              </w:rPr>
              <w:t>2.5万</w:t>
            </w:r>
            <w:r>
              <w:rPr>
                <w:rFonts w:ascii="仿宋_GB2312" w:hAnsi="宋体" w:eastAsia="仿宋_GB2312"/>
                <w:color w:val="000000" w:themeColor="text1"/>
                <w:kern w:val="0"/>
                <w:szCs w:val="21"/>
                <w14:textFill>
                  <w14:solidFill>
                    <w14:schemeClr w14:val="tx1"/>
                  </w14:solidFill>
                </w14:textFill>
              </w:rPr>
              <w:t>元以下罚款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2007"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住房</w:t>
            </w:r>
            <w:r>
              <w:rPr>
                <w:rFonts w:hint="eastAsia" w:ascii="仿宋_GB2312" w:hAnsi="宋体" w:eastAsia="仿宋_GB2312"/>
                <w:color w:val="000000" w:themeColor="text1"/>
                <w:kern w:val="0"/>
                <w:szCs w:val="21"/>
                <w14:textFill>
                  <w14:solidFill>
                    <w14:schemeClr w14:val="tx1"/>
                  </w14:solidFill>
                </w14:textFill>
              </w:rPr>
              <w:t>的市场价格与购买（建设）价格之间的价差在20万</w:t>
            </w:r>
            <w:r>
              <w:rPr>
                <w:rFonts w:ascii="仿宋_GB2312" w:hAnsi="宋体" w:eastAsia="仿宋_GB2312"/>
                <w:color w:val="000000" w:themeColor="text1"/>
                <w:kern w:val="0"/>
                <w:szCs w:val="21"/>
                <w14:textFill>
                  <w14:solidFill>
                    <w14:schemeClr w14:val="tx1"/>
                  </w14:solidFill>
                </w14:textFill>
              </w:rPr>
              <w:t>元</w:t>
            </w:r>
            <w:r>
              <w:rPr>
                <w:rFonts w:hint="eastAsia" w:ascii="仿宋_GB2312" w:hAnsi="宋体" w:eastAsia="仿宋_GB2312"/>
                <w:color w:val="000000" w:themeColor="text1"/>
                <w:kern w:val="0"/>
                <w:szCs w:val="21"/>
                <w14:textFill>
                  <w14:solidFill>
                    <w14:schemeClr w14:val="tx1"/>
                  </w14:solidFill>
                </w14:textFill>
              </w:rPr>
              <w:t>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责令退回所购房屋，不予办理产权登记手续</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2.5万</w:t>
            </w:r>
            <w:r>
              <w:rPr>
                <w:rFonts w:ascii="仿宋_GB2312" w:hAnsi="宋体" w:eastAsia="仿宋_GB2312"/>
                <w:color w:val="000000" w:themeColor="text1"/>
                <w:kern w:val="0"/>
                <w:szCs w:val="21"/>
                <w14:textFill>
                  <w14:solidFill>
                    <w14:schemeClr w14:val="tx1"/>
                  </w14:solidFill>
                </w14:textFill>
              </w:rPr>
              <w:t>元以上</w:t>
            </w:r>
            <w:r>
              <w:rPr>
                <w:rFonts w:hint="eastAsia" w:ascii="仿宋_GB2312" w:hAnsi="宋体" w:eastAsia="仿宋_GB2312"/>
                <w:color w:val="000000" w:themeColor="text1"/>
                <w:kern w:val="0"/>
                <w:szCs w:val="21"/>
                <w14:textFill>
                  <w14:solidFill>
                    <w14:schemeClr w14:val="tx1"/>
                  </w14:solidFill>
                </w14:textFill>
              </w:rPr>
              <w:t>3万</w:t>
            </w:r>
            <w:r>
              <w:rPr>
                <w:rFonts w:ascii="仿宋_GB2312" w:hAnsi="宋体" w:eastAsia="仿宋_GB2312"/>
                <w:color w:val="000000" w:themeColor="text1"/>
                <w:kern w:val="0"/>
                <w:szCs w:val="21"/>
                <w14:textFill>
                  <w14:solidFill>
                    <w14:schemeClr w14:val="tx1"/>
                  </w14:solidFill>
                </w14:textFill>
              </w:rPr>
              <w:t>元以下的罚款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或者按照商品房市场价格补交房价款，并处以</w:t>
            </w:r>
            <w:r>
              <w:rPr>
                <w:rFonts w:hint="eastAsia" w:ascii="仿宋_GB2312" w:hAnsi="宋体" w:eastAsia="仿宋_GB2312"/>
                <w:color w:val="000000" w:themeColor="text1"/>
                <w:kern w:val="0"/>
                <w:szCs w:val="21"/>
                <w14:textFill>
                  <w14:solidFill>
                    <w14:schemeClr w14:val="tx1"/>
                  </w14:solidFill>
                </w14:textFill>
              </w:rPr>
              <w:t>2.5万</w:t>
            </w:r>
            <w:r>
              <w:rPr>
                <w:rFonts w:ascii="仿宋_GB2312" w:hAnsi="宋体" w:eastAsia="仿宋_GB2312"/>
                <w:color w:val="000000" w:themeColor="text1"/>
                <w:kern w:val="0"/>
                <w:szCs w:val="21"/>
                <w14:textFill>
                  <w14:solidFill>
                    <w14:schemeClr w14:val="tx1"/>
                  </w14:solidFill>
                </w14:textFill>
              </w:rPr>
              <w:t>元以上3</w:t>
            </w:r>
            <w:r>
              <w:rPr>
                <w:rFonts w:hint="eastAsia" w:ascii="仿宋_GB2312" w:hAnsi="宋体" w:eastAsia="仿宋_GB2312"/>
                <w:color w:val="000000" w:themeColor="text1"/>
                <w:kern w:val="0"/>
                <w:szCs w:val="21"/>
                <w14:textFill>
                  <w14:solidFill>
                    <w14:schemeClr w14:val="tx1"/>
                  </w14:solidFill>
                </w14:textFill>
              </w:rPr>
              <w:t>万</w:t>
            </w:r>
            <w:r>
              <w:rPr>
                <w:rFonts w:ascii="仿宋_GB2312" w:hAnsi="宋体" w:eastAsia="仿宋_GB2312"/>
                <w:color w:val="000000" w:themeColor="text1"/>
                <w:kern w:val="0"/>
                <w:szCs w:val="21"/>
                <w14:textFill>
                  <w14:solidFill>
                    <w14:schemeClr w14:val="tx1"/>
                  </w14:solidFill>
                </w14:textFill>
              </w:rPr>
              <w:t>元以下罚款</w:t>
            </w:r>
            <w:r>
              <w:rPr>
                <w:rFonts w:hint="eastAsia" w:ascii="仿宋_GB2312" w:hAnsi="宋体" w:eastAsia="仿宋_GB2312"/>
                <w:color w:val="000000" w:themeColor="text1"/>
                <w:kern w:val="0"/>
                <w:szCs w:val="21"/>
                <w14:textFill>
                  <w14:solidFill>
                    <w14:schemeClr w14:val="tx1"/>
                  </w14:solidFill>
                </w14:textFill>
              </w:rPr>
              <w:t>。</w:t>
            </w:r>
          </w:p>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13810" w:type="dxa"/>
            <w:gridSpan w:val="17"/>
            <w:tcBorders>
              <w:tl2br w:val="nil"/>
              <w:tr2bl w:val="nil"/>
            </w:tcBorders>
            <w:tcMar>
              <w:top w:w="15" w:type="dxa"/>
              <w:left w:w="15" w:type="dxa"/>
              <w:bottom w:w="15" w:type="dxa"/>
              <w:right w:w="15" w:type="dxa"/>
            </w:tcMar>
            <w:vAlign w:val="center"/>
          </w:tcPr>
          <w:p>
            <w:pPr>
              <w:widowControl/>
              <w:spacing w:line="240" w:lineRule="auto"/>
              <w:ind w:firstLine="6333" w:firstLineChars="3004"/>
              <w:textAlignment w:val="center"/>
              <w:rPr>
                <w:rFonts w:ascii="仿宋_GB2312" w:hAnsi="宋体" w:eastAsia="仿宋_GB2312"/>
                <w:b/>
                <w:bCs/>
                <w:color w:val="000000" w:themeColor="text1"/>
                <w:kern w:val="0"/>
                <w:szCs w:val="21"/>
                <w14:textFill>
                  <w14:solidFill>
                    <w14:schemeClr w14:val="tx1"/>
                  </w14:solidFill>
                </w14:textFill>
              </w:rPr>
            </w:pPr>
            <w:r>
              <w:rPr>
                <w:rFonts w:hint="eastAsia" w:ascii="仿宋_GB2312" w:hAnsi="宋体" w:eastAsia="仿宋_GB2312"/>
                <w:b/>
                <w:bCs/>
                <w:color w:val="000000" w:themeColor="text1"/>
                <w:kern w:val="0"/>
                <w:szCs w:val="21"/>
                <w14:textFill>
                  <w14:solidFill>
                    <w14:schemeClr w14:val="tx1"/>
                  </w14:solidFill>
                </w14:textFill>
              </w:rPr>
              <w:t>住房公积金类（2项）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334"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rPr>
                <w:rFonts w:hint="default" w:ascii="仿宋_GB2312" w:hAnsi="宋体" w:eastAsia="仿宋_GB2312"/>
                <w:color w:val="000000" w:themeColor="text1"/>
                <w:szCs w:val="21"/>
                <w:lang w:val="en-US" w:eastAsia="zh-CN"/>
                <w14:textFill>
                  <w14:solidFill>
                    <w14:schemeClr w14:val="tx1"/>
                  </w14:solidFill>
                </w14:textFill>
              </w:rPr>
            </w:pPr>
            <w:r>
              <w:rPr>
                <w:rFonts w:hint="eastAsia" w:ascii="仿宋_GB2312" w:hAnsi="宋体" w:eastAsia="仿宋_GB2312"/>
                <w:color w:val="000000" w:themeColor="text1"/>
                <w:szCs w:val="21"/>
                <w:lang w:val="en-US" w:eastAsia="zh-CN"/>
                <w14:textFill>
                  <w14:solidFill>
                    <w14:schemeClr w14:val="tx1"/>
                  </w14:solidFill>
                </w14:textFill>
              </w:rPr>
              <w:t>350</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单位不办理住房公积金缴存登记</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《住房公积金管理条例》第十三条第二款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住房公积金管理条例》第三十七条违反本条例的规定，单位不办理住房公积金缴存登记或者不为本单位职工办理住房公积金账户设立手续的，由住房公积金管理中心责令限期办理；逾期不办理的，处1万元以上5万元以下的罚款</w:t>
            </w:r>
          </w:p>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《住房公积金管理条例》第十三条第二款单位应当向住房公积金管理中心办理住房公积金缴存登记，并为本单位职工办理住房公积金账户设立手续。每个职工只能有一个住房公积金账户。</w:t>
            </w: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单位设立时间3年以下的，经住房公积金管理中心责令限期办理,逾期不办理的。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334"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vMerge w:val="continue"/>
            <w:tcBorders>
              <w:tl2br w:val="nil"/>
              <w:tr2bl w:val="nil"/>
            </w:tcBorders>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单位设立时间3年以上5年以下的，经住房公积金管理中心责令限期办理,逾期仍不办理的。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单位设立时间6年以上10年以下的，经住房公积金管理中心责令限期办理,逾期仍不办理的。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vMerge w:val="continue"/>
            <w:tcBorders>
              <w:tl2br w:val="nil"/>
              <w:tr2bl w:val="nil"/>
            </w:tcBorders>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单位设立时间11年以上15年以下的，经住房公积金管理中心责令限期办理,逾期仍不办理的。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对单位处以3万元以上4万元以下罚款。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334"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单位设立时间在以15年以上的，经住房公积金管理中心责令限期办理,逾期仍不办理的。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对单位处以4万元以上5万元以下罚款。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334"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lang w:val="en-US" w:eastAsia="zh-CN"/>
                <w14:textFill>
                  <w14:solidFill>
                    <w14:schemeClr w14:val="tx1"/>
                  </w14:solidFill>
                </w14:textFill>
              </w:rPr>
              <w:t>1</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不为本单位职工办理住房公积金帐户设立手续的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《住房公积金管理条例》第十三条第二款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住房公积金管理条例》第三十七条违反本条例的规定，单位不办理住房公积金缴存登记或者不为本单位职工办理住房公积金账户设立手续的，由住房公积金管理中心责令限期办理；逾期不办理的，处1万元以上5万元以下的罚款。</w:t>
            </w:r>
          </w:p>
          <w:p>
            <w:pPr>
              <w:widowControl/>
              <w:spacing w:line="240" w:lineRule="auto"/>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《住房公积金管理条例》第十三条第二款单位应当向住房公积金管理中心办理住房公积金缴存登记，并为本单位职工办理住房公积金账户设立手续。每个职工只能有一个住房公积金账户。</w:t>
            </w: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单位应缴未缴职工不足50人的，经住房公积金管理中心责令限期办理,逾期仍不办理的。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334"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vMerge w:val="continue"/>
            <w:tcBorders>
              <w:tl2br w:val="nil"/>
              <w:tr2bl w:val="nil"/>
            </w:tcBorders>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单位应缴未缴职工50（含）人以上不足100人的，经住房公积金管理中心责令限期办理,逾期仍不办理的。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单位应缴未缴职工100（含）人以上不足300人的，经住房公积金管理中心责令限期办理,逾期仍不办理的。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vMerge w:val="continue"/>
            <w:tcBorders>
              <w:tl2br w:val="nil"/>
              <w:tr2bl w:val="nil"/>
            </w:tcBorders>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单位应缴未缴职工300（含）人以上不足500人的，经住房公积金管理中心责令限期办理,逾期仍不办理的。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对单位处以3万元以上4万元以下罚款。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trHeight w:val="334"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单位应缴未缴职工500（含）人以上的，经住房公积金管理中心责令限期办理,逾期仍不办理的。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对单位处以4万元以上5万元以下罚款。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597" w:hRule="atLeast"/>
          <w:jc w:val="center"/>
        </w:trPr>
        <w:tc>
          <w:tcPr>
            <w:tcW w:w="13795" w:type="dxa"/>
            <w:gridSpan w:val="16"/>
            <w:tcBorders>
              <w:tl2br w:val="nil"/>
              <w:tr2bl w:val="nil"/>
            </w:tcBorders>
            <w:tcMar>
              <w:top w:w="15" w:type="dxa"/>
              <w:left w:w="15" w:type="dxa"/>
              <w:bottom w:w="15" w:type="dxa"/>
              <w:right w:w="15" w:type="dxa"/>
            </w:tcMar>
            <w:vAlign w:val="center"/>
          </w:tcPr>
          <w:p>
            <w:pPr>
              <w:widowControl/>
              <w:spacing w:line="240" w:lineRule="auto"/>
              <w:ind w:firstLine="5978" w:firstLineChars="2836"/>
              <w:textAlignment w:val="center"/>
              <w:rPr>
                <w:rFonts w:ascii="仿宋_GB2312" w:hAnsi="宋体" w:eastAsia="仿宋_GB2312" w:cs="宋体"/>
                <w:b/>
                <w:color w:val="000000" w:themeColor="text1"/>
                <w:szCs w:val="21"/>
                <w14:textFill>
                  <w14:solidFill>
                    <w14:schemeClr w14:val="tx1"/>
                  </w14:solidFill>
                </w14:textFill>
              </w:rPr>
            </w:pPr>
            <w:r>
              <w:rPr>
                <w:rFonts w:hint="eastAsia" w:ascii="仿宋_GB2312" w:hAnsi="宋体" w:eastAsia="仿宋_GB2312" w:cs="宋体"/>
                <w:b/>
                <w:color w:val="000000" w:themeColor="text1"/>
                <w:szCs w:val="21"/>
                <w14:textFill>
                  <w14:solidFill>
                    <w14:schemeClr w14:val="tx1"/>
                  </w14:solidFill>
                </w14:textFill>
              </w:rPr>
              <w:t>城市建设与管理类（144项）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352</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在城市绿地范围内进行拦河截溪、取土采石、设置垃圾堆场、排放污水以及其他对城市生态环境造成破坏活动的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《城市绿线管理办法》第十二条第一款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《城市绿线管理办法》第十七条</w:t>
            </w:r>
          </w:p>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违反本办法规定，在城市绿地范围内进行拦河截溪、取土采石、设置垃圾堆场、排放污水以及其他对城市生态环境造成破坏活动的，由城市园林绿化行政主管部门责令改正，并处一万元以上三万元以下的罚款。</w:t>
            </w:r>
          </w:p>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59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责令改正，并处1万元以上2万元以下罚款。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67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（1）经责令停止违法行为后，继续实施该违法行为的；（2）不在规定期限内恢复原状或采取补救措施的；（3）对城市生态环境造成破坏，难以恢复的；（4）造成重大社会影响的。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责令改正，并处2万元以上3万元以下罚款。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353</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擅自在动物园内摆摊设点的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《城市动物园管理规定》第二十四条第二款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《城市动物园管理规定》第三十条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擅自在动物园内摆摊设点的，由城市人民政府园林行政主管部门责令限期改正，可以并处1000元以下的罚款；造成损失的，应当承担赔偿责任。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占用面积2平方米以下的。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责令限期改正，可以并处200元以下罚款。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2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占用面积2平方米以上5平方米以下的。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责令限期改正，可以并处200元以上500元以下罚款。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66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（1）占用面积5平方米以上的；（2）经责令限期改正后不予配合的；（3）曾因此被查处过，再次实施该违法行为的。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责令限期改正，可以并处500元以上1000元以下罚款。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445"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354</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自来水供水企业和自建设施对外供水的企业，有下列行为之一的：(1)新建、改建、扩建的饮用水供水工程项目未经建设行政主管部门设计审查和竣工验收而擅自建设并投入使用的；(2)未按规定进行日常性水质检验工作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《生活饮用水卫生监督管理办法》第八条、第十条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《生活饮用水卫生监督管理办法》第二十八条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城市自来水供水企业和自建设施对外供水的企业，有下列行为之一的，由建设行政主管部门责令限期改进，并可处以违法所得3倍以下的罚款，但最高不超过3万元，没有违法所得的可处以1万元以下罚款：</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（一）新建、改建、扩建的饮用水供水工程项目未经建设行政主管部门设计审查和竣工验收而擅自建设并投入使用的；</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（二）未按规定进行日常性水质检验工作的。</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责令限期改进，并可处以违法所得1倍以下的罚款，但最高不超过1万元，无违法所得的，可处以1千元以下的罚款。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44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责令限期改进，并可处以违法所得1倍以上2倍以下的罚款，但最高不超过2万元，无违法所得的，可处以1千元以上3千元以下的罚款。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责令限期改进，可处以违法所得2倍以上3倍以下的罚款，但最高不超过3万元，无违法所得的，可处以3千元以上1万元以下的罚款。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16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355</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城市的新建、扩建和改建工程项目未按规定配套建设节约用水设施或者节约用水设施经验收不合格的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《安徽省城市节约用水管理办法》第十条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《安徽省城市节约用水管理办法》第二十二条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的新建、扩建和改建工程项目未按规定配套建设节约用水设施或者节约用水设施经验收不合格的，由城市建设行政主管部门限制其用水量，责令其限期完善节约用水设施，并可对经营活动中的违法行为处1万元以下的罚款；对非经营活动中的违法行为处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限制其用水量，责令其限期完善节约用水设施，并可对经营活动中的违法行为处5千元以下罚款；对非经营活动中的违法行为处500元以下罚款。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37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限制其用水量，责令其限期完善节约用水设施，并可对经营活动中的违法行为处5千元以上7500元以下罚款；对非经营活动中的违法行为处500元以上750元以下罚款。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66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（1）经责令停止违法行为后，拒不改正，继续实施违法行为的；（2）曾因实施该违法行为被查处，再次实施该违法行为的；（3）造成重大社会影响的。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限制其用水量，责令其限期完善节约用水设施，并可对经营活动中的违法行为处7500元以上1万元以下罚款；对非经营活动中的违法行为处750元以上1千元以下罚款。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334"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356</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拒不安装生活用水分户计量水表的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《安徽省城市节约用水管理办法》第十二条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《安徽省城市节约用水管理办法》第二十三条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拒不安装生活用水分户计量水表的，城市建设行政主管部门应当责令其限期安装；逾期不安装的，由城市建设行政主管部门限制其用水量，并可对经营活动中的违法行为处5000元以下的罚款；对非经营活动中的违法行为处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责令其限期安装；逾期不安装的，由城市建设行政主管部门限制其用水量，并可对经营活动中的违法行为处1千元以下的罚款；对非经营活动中的违法行为处100元以下的罚款。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33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责令其限期安装；逾期不安装的，由城市建设行政主管部门限制其用水量，并可对经营活动中的违法行为处1千元以上3千元以下罚款；对非经营活动中的违法行为处100元以上500元以下罚款。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66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（1）曾因实施该违法行为被查处，再次实施该违法行为的；（2）因拒不安装生活用水分户计量水表的，造成重大损失的。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责令其限期安装；逾期不安装的，由城市建设行政主管部门限制其用水量，并可对经营活动中的违法行为处3千元以上5千元以下罚款；对非经营活动中的违法行为处500元以上1千元以下罚款。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18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357</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违反城镇供水专项规划及其年度建设计划建设城镇供水工程，无证、超越资质证书规定的经营范围或者未按国家规定的技术标准和规范进行城镇供水工程的勘察、设计、施工或者监理的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w:t>
            </w:r>
            <w:r>
              <w:rPr>
                <w:rFonts w:hint="eastAsia" w:ascii="仿宋_GB2312" w:hAnsi="宋体" w:eastAsia="仿宋_GB2312" w:cs="宋体"/>
                <w:color w:val="000000" w:themeColor="text1"/>
                <w:szCs w:val="21"/>
                <w14:textFill>
                  <w14:solidFill>
                    <w14:schemeClr w14:val="tx1"/>
                  </w14:solidFill>
                </w14:textFill>
              </w:rPr>
              <w:t>第十二条第二款、第十三条第一款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《安徽省城镇供水条例》第四十九条第一款</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十二条第二款、第十三条第一款规定，违反城镇供水专项规划及其年度建设计划建设城镇供水工程，无证、超越资质证书规定的经营范围或者未按国家规定的技术标准和规范进行城镇供水工程的勘察、设计、施工或者监理的，由县级以上人民政府城镇供水行政主管部门责令停止违法行为，可以处二万元以上五万元以下罚款。</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违反本条例第十三条第二款规定，使用不符合标准的供水设备、管材、配件和用水器具的，由县级以上人民政府城镇供水行政主管部门责令改正，给予警告，并处三万元罚款。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责令停止违法行为，可以处2万元罚款。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98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责令停止违法行为，可以处2万元以上3万元以下罚款。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89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（1）经责令停止违法行为后，继续实施违法行为的；</w:t>
            </w:r>
            <w:r>
              <w:rPr>
                <w:rFonts w:hint="eastAsia" w:ascii="仿宋_GB2312" w:hAnsi="宋体" w:eastAsia="仿宋_GB2312" w:cs="宋体"/>
                <w:color w:val="000000" w:themeColor="text1"/>
                <w:kern w:val="0"/>
                <w:szCs w:val="21"/>
                <w14:textFill>
                  <w14:solidFill>
                    <w14:schemeClr w14:val="tx1"/>
                  </w14:solidFill>
                </w14:textFill>
              </w:rPr>
              <w:t>（2）曾因实施该违法行为被查处，再次实施该违法行为的；</w:t>
            </w:r>
            <w:r>
              <w:rPr>
                <w:rFonts w:hint="eastAsia" w:ascii="仿宋_GB2312" w:hAnsi="宋体" w:eastAsia="仿宋_GB2312" w:cs="宋体"/>
                <w:color w:val="000000" w:themeColor="text1"/>
                <w:szCs w:val="21"/>
                <w14:textFill>
                  <w14:solidFill>
                    <w14:schemeClr w14:val="tx1"/>
                  </w14:solidFill>
                </w14:textFill>
              </w:rPr>
              <w:t>（3）造成重大社会影响的。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责令停止违法行为，可以处3万元以上5万元以下罚款。</w:t>
            </w:r>
          </w:p>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358</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二次供水设施管理单位未按照规定进行检测，或者清洗消毒的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《安徽省城镇供水条例》第十八条第一款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《安徽省城镇供水条例》第五十条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违反本条例第十八条第一款规定，二次供水设施管理单位未按照规定进行检测，或者清洗消毒的，由县级以上人民政府城镇供水行政主管部门责令改正，可以处三万元以上五万元以下罚款。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2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责令改正，可以处3万元以上4万元以下罚款。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54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（1）经责令停止违法行为后，继续实施违法行为的；</w:t>
            </w:r>
            <w:r>
              <w:rPr>
                <w:rFonts w:hint="eastAsia" w:ascii="仿宋_GB2312" w:hAnsi="宋体" w:eastAsia="仿宋_GB2312" w:cs="宋体"/>
                <w:color w:val="000000" w:themeColor="text1"/>
                <w:kern w:val="0"/>
                <w:szCs w:val="21"/>
                <w14:textFill>
                  <w14:solidFill>
                    <w14:schemeClr w14:val="tx1"/>
                  </w14:solidFill>
                </w14:textFill>
              </w:rPr>
              <w:t>（2）曾因实施该违法行为被查处，再次实施该违法行为的；</w:t>
            </w:r>
            <w:r>
              <w:rPr>
                <w:rFonts w:hint="eastAsia" w:ascii="仿宋_GB2312" w:hAnsi="宋体" w:eastAsia="仿宋_GB2312" w:cs="宋体"/>
                <w:color w:val="000000" w:themeColor="text1"/>
                <w:szCs w:val="21"/>
                <w14:textFill>
                  <w14:solidFill>
                    <w14:schemeClr w14:val="tx1"/>
                  </w14:solidFill>
                </w14:textFill>
              </w:rPr>
              <w:t>（3）造成重大社会影响的。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责令改正，可以处4万元以上5万元以下罚款。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116"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359</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供水水质不符合国家规定标准的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《安徽省城镇供水条例》第二十九条第一款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《安徽省城镇供水条例》第五十一条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九条规定，供水水质不符合国家规定标准的，由县级以上人民政府城镇供水行政主管部门责令改正，可以处五万元以上十万元以下罚款，情节严重的，报经县级以上人民政府批准，可以责令停业整顿，并采取相应的应急供水措施；未按照规定进行水质检测，或者使用未经检验或者检验不合格的供水设备、管网的，由县级以上人民政府城镇供水行政主管部门责令改正，可以处三万元以上五万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84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60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（1）经责令停止违法行为后，继续实施违法行为的；（2）曾因实施该违法行为被查处，再次实施该违法行为的；（3）造成严重危害后果或重大社会影响的。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责令改正，可以处7万元以上10万元以下罚款，报经县级以上人民政府批准，可以责令停业整顿，并采取相应的应急供水措施。</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027"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360</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饮用水供水单位供水水质不符合国家规定标准的</w:t>
            </w:r>
          </w:p>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《中华人民共和国水污染防治法》第七十条</w:t>
            </w:r>
          </w:p>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《中华人民共和国水污染防治法》第九十二条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饮用水供水单位供水水质不符合国家规定标准的，由所在地市、县级人民政府供水主管部门责令改正，处二万元以上二十万元以下的罚款；情节严重的，报经有批准权的人民政府批准，可以责令停业整顿；对直接负责的主管人员和其他直接责任人员依法给予处分。</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责令改正，处2万元以上8万元以下罚款。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02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处8万元以上14万元以下罚款。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2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（1）经责令停止违法行为后，继续实施违法行为的；（2）曾因实施该违法行为被查处，再次实施该违法行为的；（3）造成严重危害后果或重大社会影响的。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处14万元以上20万元以下罚款</w:t>
            </w:r>
            <w:r>
              <w:rPr>
                <w:rFonts w:hint="eastAsia" w:ascii="仿宋_GB2312" w:hAnsi="宋体" w:eastAsia="仿宋_GB2312" w:cs="宋体"/>
                <w:color w:val="000000" w:themeColor="text1"/>
                <w:szCs w:val="21"/>
                <w14:textFill>
                  <w14:solidFill>
                    <w14:schemeClr w14:val="tx1"/>
                  </w14:solidFill>
                </w14:textFill>
              </w:rPr>
              <w:t>；报经有批准权的人民政府批准，可以责令停业整顿。</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361</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未按照规定进行水质检测，或者使用未经检验或者检验不合格的供水设备、管网的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《安徽省城镇供水条例》第二十九条第一款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《安徽省城镇供水条例》第五十一条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二十九条规定，供水水质不符合国家规定标准的，由县级以上人民政府城镇供水行政主管部门责令改正，可以处五万元以上十万元以下罚款，情节严重的，报经县级以上人民政府批准，可以责令停业整顿，并采取相应的应急供水措施；未按照规定进行水质检测，或者使用未经检验或者检验不合格的供水设备、管网的，由县级以上人民政府城镇供水行政主管部门责令改正，可以处三万元以上五万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2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责令改正，可以处3万元以上4万元以下罚款。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208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（1）经责令停止违法行为后，继续实施违法行为的；（2）曾因实施该违法行为被查处，再次实施该违法行为的；（3）造成严重危害后果或重大社会影响的。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责令改正，可以处4万元以上5万元以下罚款。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362</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供水水压不符合国家规定标准，擅自停止供水或者未履行停水通知义务，或者供水设施发生故障后未及时抢修的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《安徽省城镇供水条例》第三十三条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《安徽省城镇供水条例》第五十二条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三十三条规定，供水水压不符合国家规定标准，擅自停止供水或者未履行停水通知义务，或者供水设施发生故障后未及时抢修的，由县级以上人民政府城镇供水行政主管部门责令改正，可以处一万元以上五万元以下罚款；情节严重的，报经县级以上人民政府批准，可以责令停业整顿，并采取相应的应急供水措施。</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（1）供水水压不符合国家规定标准24小时以内；（2）擅自停止供水或者未履行停水通知义务在12小时以内；（3）供水设施发生故障后超过应及时抢修时间1小时以内的。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237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（1）供水水压不符合国家规定标准24小时以上36小时以下的；（2）擅自停止供水或者未履行停水通知义务在12小时以上18小时以下的；（3）供水设施发生故障后超过应及时抢修时间1小时以上2小时以下的。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责令改正，可以处1万元以上1.5万元以下罚款。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96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（1）供水水压不符合国家规定标准36小时以上48小时以下的；（2）擅自停止供水或者未履行停水通知义务在18小时以上24小时以下的；（3）供水设施发生故障后超过应及时抢修时间2小时以上3小时以下的。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责令改正，可以处1.5万元以上2万元以下罚款。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96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（1）供水水压不符合国家规定标准48小时以上60小时以下的；（2）擅自停止供水或者未履行停水通知义务在24小时以上30小时以下的；（3）供水设施发生故障后未及时抢修3小时以上4小时以下的。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责令改正，可以处2万元以上2.5万元以下罚款。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96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（1）供水水压不符合国家规定标准60小时以上72小时以下的；（2）擅自停止供水或者未履行停水通知义务在30小时以上36小时以下的；（3）供水设施发生故障后未及时抢修4小时以上5小时以下的。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责令改正，可以处2.5万元以上3万元以下罚款。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9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（1）供水水压不符合国家规定标准72小时以上84小时以下的；（2）擅自停止供水或者未履行停水通知义务在36小时以上42小时以下的；（3）供水设施发生故障后超过应及时抢修时间5小时以上6小时以下的。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责令改正，可以处3万元以上3.5万元以下罚款；报经县级以上人民政府批准，可以责令停业整顿，并采取相应的应急供水措施。</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48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（1）供水水压不符合国家规定标准84小时以上96小时以下的；（2）擅自停止供水或者未履行停水通知义务在42小时以上48小时以下的；（3）供水设施发生故障后超过应及时抢修时间6小时以上7小时以下的。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责令改正，可以处3.5万元以上4万元以下罚款；报经县级以上人民政府批准，可以责令停业整顿，并采取相应的应急供水措施。</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48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（1）供水水压不符合国家规定标准96小时以上108小时以下的；（2）擅自停止供水或者未履行停水通知义务在48小时以上54小时以下的；（3）供水设施发生故障后未及时抢修7小时以上8小时以上的。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责令改正，可以处4万元以上4.5万元以下罚款；报经县级以上人民政府批准，可以责令停业整顿，并采取相应的应急供水措施。</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48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（1）供水水压不符合国家规定标准108小时以上的；（2）擅自停止供水或者未履行停水通知义务在54小时以上的；（3）供水设施发生故障后未及时抢修8小时以上的；（4）造成严重危害后果的。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责令改正，可以处4.5万元以上5万元以下罚款；报经县级以上人民政府批准，可以责令停业整顿，并采取相应的应急供水措施。</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363</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任何单位或者个人有下列行为之一的：（1）擅自在城镇公共供水管网系统上取水；（2）擅自转供城镇公共供水或者将居民生活用水改作其他用水；（3）绕过结算水表接管取水；（4）拆除、伪造、开启法定计量检定机构加封的结算水表或者设施封印；（5）擅自安装、毁坏结算水表或者干扰结算水表的正常计量</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《安徽省城镇供水条例》第四十二条第一款第一项至五项</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《安徽省城镇供水条例》第五十三条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违反本条例第四十二条第一款第一项至五项规定的，由县级以上人民政府城镇供水行政主管部门责令改正，对单位可以处五千元以上二万元以下罚款，对个人可以处一千元以上五千元以下罚款。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责令改正，对单位可以处5千元罚款，对个人可以处1千元罚款。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01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责令改正，对单位可以处5千元以上1万元以下罚款，对个人可以处1千元以上3千元以下罚款。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37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责令改正，对单位可以处1万元以上2万元以下罚款，对个人可以处3千元以上5千元以下罚款。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364</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在城镇公共供水管道及其附属设施的安全保护范围内，从事下列活动的:（1）建造建筑物、构筑物；（2）开沟挖渠、挖沙取土；（3）堆放易燃、易爆、有毒有害物质</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《安徽省城镇供水条例》第四十五条第二款第一项至三项</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ind w:left="210" w:hanging="210" w:hanging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《安徽省城镇供水条例》第五十四条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违反本条例第四十五条第二款第一项至三项规定的，由县级以上人民政府城镇供水行政主管部门责令改正，可以处五千元以上二万元以下罚款。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1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13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（1）经责令停止违法行为后，继续实施违法行为的；（2）曾因实施该违法行为被查处，再次实施该违法行为的；（3）造成严重危害后果或重大社会影响的。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365</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产生或者使用有毒有害物质的单位将其生产用水管网系统与城镇公共供水管网系统直接连接，尚未构成犯罪的</w:t>
            </w:r>
          </w:p>
          <w:p>
            <w:pPr>
              <w:widowControl/>
              <w:spacing w:line="240" w:lineRule="auto"/>
              <w:jc w:val="left"/>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《安徽省城镇供水条例》第四十七条</w:t>
            </w:r>
          </w:p>
          <w:p>
            <w:pPr>
              <w:widowControl/>
              <w:spacing w:line="240" w:lineRule="auto"/>
              <w:jc w:val="left"/>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《安徽省城镇供水条例》第五十五条</w:t>
            </w:r>
          </w:p>
          <w:p>
            <w:pPr>
              <w:widowControl/>
              <w:spacing w:line="240" w:lineRule="auto"/>
              <w:ind w:firstLine="210" w:firstLineChars="100"/>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四十七条规定，产生或者使用有毒有害物质的单位将其生产用水管网系统与城镇公共供水管网系统直接连接，尚未构成犯罪的，由县级以上人民政府城镇供水行政主管部门责令改正，可以处五万元以上十万元以下罚款。</w:t>
            </w:r>
          </w:p>
          <w:p>
            <w:pPr>
              <w:widowControl/>
              <w:spacing w:line="240" w:lineRule="auto"/>
              <w:jc w:val="left"/>
              <w:textAlignment w:val="center"/>
              <w:rPr>
                <w:rFonts w:ascii="仿宋_GB2312" w:hAnsi="宋体" w:eastAsia="仿宋_GB2312" w:cs="宋体"/>
                <w:color w:val="000000" w:themeColor="text1"/>
                <w:kern w:val="0"/>
                <w:szCs w:val="21"/>
                <w14:textFill>
                  <w14:solidFill>
                    <w14:schemeClr w14:val="tx1"/>
                  </w14:solidFill>
                </w14:textFill>
              </w:rPr>
            </w:pPr>
          </w:p>
          <w:p>
            <w:pPr>
              <w:widowControl/>
              <w:spacing w:line="240" w:lineRule="auto"/>
              <w:jc w:val="left"/>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jc w:val="left"/>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left"/>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6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jc w:val="left"/>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left"/>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366</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擅自改装、迁移、拆除城镇公共供水设施的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《安徽省城镇供水条例》第四十八条第一款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《安徽省城镇供水条例》第五十六条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违反本条例第四十八条第一款规定，擅自改装、迁移、拆除城镇公共供水设施的，由县级以上人民政府城镇供水行政主管部门责令改正，可以处一万元以上五万元以下罚款。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strike/>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8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（1）经责令停止违法行为后，继续实施违法行为的；（2）曾因实施该违法行为被查处，再次实施该违法行为的；（3）造成严重危害后果或重大社会影响的。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367</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有下列行为之一的：（1）城市供水单位未制定城市供水水质突发事件应急预案的；（2）城市供水单位未按规定上报水质报表的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《城市供水水质管理规定》第十二条、第二十四条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《城市供水水质管理规定》第三十条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规定，有下列行为之一的，由直辖市、市、县人民政府城市供水主管部门给予警告，并处以5000元以上2万元以下的罚款：（一）城市供水单位未制定城市供水水质突发事件应急预案的；（二）城市供水单位未按规定上报水质报表的。</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给予警告，</w:t>
            </w:r>
            <w:r>
              <w:rPr>
                <w:rFonts w:hint="eastAsia" w:ascii="仿宋_GB2312" w:hAnsi="宋体" w:eastAsia="仿宋_GB2312" w:cs="宋体"/>
                <w:color w:val="000000" w:themeColor="text1"/>
                <w:kern w:val="0"/>
                <w:szCs w:val="21"/>
                <w14:textFill>
                  <w14:solidFill>
                    <w14:schemeClr w14:val="tx1"/>
                  </w14:solidFill>
                </w14:textFill>
              </w:rPr>
              <w:t>并处以5千元罚款。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给予警告，</w:t>
            </w:r>
            <w:r>
              <w:rPr>
                <w:rFonts w:hint="eastAsia" w:ascii="仿宋_GB2312" w:hAnsi="宋体" w:eastAsia="仿宋_GB2312" w:cs="宋体"/>
                <w:color w:val="000000" w:themeColor="text1"/>
                <w:kern w:val="0"/>
                <w:szCs w:val="21"/>
                <w14:textFill>
                  <w14:solidFill>
                    <w14:schemeClr w14:val="tx1"/>
                  </w14:solidFill>
                </w14:textFill>
              </w:rPr>
              <w:t>并处以5千元以上1万元以下罚款。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（1）经责令停止违法行为后，继续实施违法行为的；（2）曾因实施该违法行为被查处，再次实施该违法行为的；（3）造成严重危害后果或社会影响的。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给予警告，并</w:t>
            </w:r>
            <w:r>
              <w:rPr>
                <w:rFonts w:hint="eastAsia" w:ascii="仿宋_GB2312" w:hAnsi="宋体" w:eastAsia="仿宋_GB2312" w:cs="宋体"/>
                <w:color w:val="000000" w:themeColor="text1"/>
                <w:kern w:val="0"/>
                <w:szCs w:val="21"/>
                <w14:textFill>
                  <w14:solidFill>
                    <w14:schemeClr w14:val="tx1"/>
                  </w14:solidFill>
                </w14:textFill>
              </w:rPr>
              <w:t>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368</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在雨水、污水分流地区，建设单位、施工单位将雨水管网、污水管网相互混接的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《城镇排水与污水处理条例》第十九条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《城镇排水与污水处理条例》第四十八条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违反本条例规定，在雨水、污水分流地区，建设单位、施工单位将雨水管网、污水管网相互混接的，由城镇排水主管部门责令改正，处5万元以上10万元以下的罚款；造成损失的，依法承担赔偿责任。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9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已造成水体污染的；（2）已造成雨水排放不畅，导致道路积水的；（3）经责令停止违法行为后，继续实施违法行为的；（4）曾因实施该违法行为被查处，再次实施该违法行为的；（5）造成其他严重危害后果或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40"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369</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城镇排水与污水处理设施覆盖范围内的排水单位和个人，未按照国家有关规定将污水排入城镇排水设施，或者在雨水、污水分流地区将污水排入雨水管网的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《城镇排水与污水处理条例》第二十条；</w:t>
            </w:r>
            <w:r>
              <w:rPr>
                <w:rFonts w:hint="eastAsia" w:ascii="仿宋_GB2312" w:hAnsi="宋体" w:eastAsia="仿宋_GB2312" w:cs="宋体"/>
                <w:color w:val="000000" w:themeColor="text1"/>
                <w:szCs w:val="21"/>
                <w14:textFill>
                  <w14:solidFill>
                    <w14:schemeClr w14:val="tx1"/>
                  </w14:solidFill>
                </w14:textFill>
              </w:rPr>
              <w:t>《城镇污水排入排水管网许可管理办法》第四条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《城镇排水与污水处理条例》第四十九条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w:t>
            </w:r>
            <w:r>
              <w:rPr>
                <w:rFonts w:hint="eastAsia" w:ascii="仿宋_GB2312" w:hAnsi="宋体" w:eastAsia="仿宋_GB2312" w:cs="宋体"/>
                <w:color w:val="000000" w:themeColor="text1"/>
                <w:kern w:val="0"/>
                <w:szCs w:val="21"/>
                <w14:textFill>
                  <w14:solidFill>
                    <w14:schemeClr w14:val="tx1"/>
                  </w14:solidFill>
                </w14:textFill>
              </w:rPr>
              <w:t>第二十五条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初次违法，及时改正，未造成严重后果的。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31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（1）逾期不改正但尚未造成严重后果的；（2）及时改正违法行为但仍造成严重后果的。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责令改正，对单位处10万元以上15万元以下罚款，对个人处2万元以上5万元以下罚款。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6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（1）逾期不改正且造成严重后果的；（2）曾因此被查处过，再次实施违法行为，且造成严重后果的。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责令改正，对单位处15万元以上20万元以下罚款，对个人处5万元以上10万元以下罚款。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370</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排水户未取得污水排入排水管网许可证向城镇排水设施排放污水的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《城镇排水与污水处理条例》第二十一条；</w:t>
            </w:r>
            <w:r>
              <w:rPr>
                <w:rFonts w:hint="eastAsia" w:ascii="仿宋_GB2312" w:hAnsi="宋体" w:eastAsia="仿宋_GB2312" w:cs="宋体"/>
                <w:color w:val="000000" w:themeColor="text1"/>
                <w:szCs w:val="21"/>
                <w14:textFill>
                  <w14:solidFill>
                    <w14:schemeClr w14:val="tx1"/>
                  </w14:solidFill>
                </w14:textFill>
              </w:rPr>
              <w:t>《城镇污水排入排水管网许可管理办法》第四条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《城镇排水与污水处理条例》第五十条第一款</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p>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《城镇污水排入排水管网许可管理办法》第二十六条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规定，排水户未取得排水许可，向城镇排水设施排放污水的，由城镇排水主管部门责令停止违法行为，限期采取治理措施，补办排水许可证，可以处50万元以下罚款；对列入重点排污单位名录的排水户，可以处30万元以上50万元以下罚款；造成损失的，依法承担赔偿责任；构成犯罪的，依法追究刑事责任。</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初次违法，危害后果轻微，及时改正的。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责令停止违法行为，限期采取治理措施，补办污水排入排水管网许可证，可以处10万元以下罚款；对列入重点排污单位名录的排水户，可以处30万元罚款。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14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责令停止违法行为，限期采取治理措施，补办污水排入排水管网许可证，可以处10万元以上30万元以下罚款；对列入重点排污单位名录的排水户，可以处30万元以上40万元以下罚款。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3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（1）逾期不办排水许可的；（2）已造成严重危害后果或社会影响的。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责令停止违法行为，限期采取治理措施，补办污水排入排水管网许可证，可以处30万元以上50万元以下罚款；对列入重点排污单位名录的排水户，可以处40万元以上50万元以下罚款。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097"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371</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排水户不按照污水排入排水管网许可证的要求排放污水的</w:t>
            </w:r>
          </w:p>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《城镇排水与污水处理条例》第二十一条</w:t>
            </w:r>
          </w:p>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《城镇污水排入排水管网许可管理办法》第十二条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《城镇排水与污水处理条例》第五十条第二款</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《城镇污水排入排水管网许可管理办法》第二十七条</w:t>
            </w:r>
          </w:p>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排水户未按照排水许可证的要求，向城镇排水设施排放污水的，由城镇排水主管部门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初次违法，未造成严重后果的。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责令停止违法行为，限期改正，可以处5万元以下罚款。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造成严重后果，但不具有从重情形的。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吊销污水排入排水管网许可证，并处5万元以上30万元以下罚款，对列入重点排污单位名录的排水户，处30万元以上40万元以下罚款，并将有关情况通知同级环境保护主管部门，可以向社会予以通报。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64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（1）经责令停止违法行为后，继续实施违法行为，且造成严重后果的；（2）曾因此被查处过，再次实施违法行为，且已造成严重后果的。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吊销污水排入排水管网许可证，并处30万元以上50万元以下罚款，对列入重点排污单位名录的排水户，处40万元以上50万元以下罚款，并将有关情况通知同级环境保护主管部门，可以向社会予以通报。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36"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372</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《城镇排水与污水处理条例》第二十五条、第二十七条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《城镇排水与污水处理条例》第五十一条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初次违法，及时改正，未造成严重后果的。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9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（1）逾期不改正，尚未造成严重后果的；（2）及时改正，但已造成严重后果的。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责令改正，处10万元以上15万元以下罚款。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6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（1）逾期不改正，且已造成了严重后果的；（2）</w:t>
            </w:r>
            <w:r>
              <w:rPr>
                <w:rFonts w:hint="eastAsia" w:ascii="仿宋_GB2312" w:hAnsi="宋体" w:eastAsia="仿宋_GB2312" w:cs="宋体"/>
                <w:color w:val="000000" w:themeColor="text1"/>
                <w:kern w:val="0"/>
                <w:szCs w:val="21"/>
                <w14:textFill>
                  <w14:solidFill>
                    <w14:schemeClr w14:val="tx1"/>
                  </w14:solidFill>
                </w14:textFill>
              </w:rPr>
              <w:t>曾因此被查处过，再次实施违法行为，且已造成严重后果的。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46"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373</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城镇污水处理设施维护运营单位未按照国家有关规定检测进出水水质的，或者未报送污水处理水质和水量、主要污染物削减量等信息和生产运营成本等信息的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《城镇排水与污水处理条例》二十九条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《城镇排水与污水处理条例》第五十二条第一款</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初次违法，未造成影响，及时改正的。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3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7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（1）曾因实施该违法行为被查处，再次实施该违法行为的；（2）出水水质不达标的；（3）造成严重后果的。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374</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城镇污水处理设施维护运营单位擅自停运城镇污水处理设施，未按照规定事先报告或者采取应急处理措施的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《城镇排水与污水处理条例》三十一条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《城镇排水与污水处理条例》第五十二条第二款</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初次违法，及时改正，未造成严重后果的。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6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（1）逾期不改正，尚未造成严重后果的；（2）及时改正，但已造成严重后果的。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责令改正，处10万元以上30万元以下的罚款。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4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（1）逾期不改正，且已造成严重后果的；（2）曾因实施该违法行为被查处过，再次实施该违法行为，且已造成严重后果的。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责令改正，处30万元以上50万元以下罚款。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375</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排水单位或者个人不缴纳污水处理费的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《城镇排水与污水处理条例》第三十二条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《城镇排水与污水处理条例》第五十四条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违反本条例规定，排水单位或者个人不缴纳污水处理费的，由城镇排水主管部门责令限期缴纳，逾期拒不缴纳的，处应缴纳污水处理费数额1倍以上3倍以下罚款。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初次违法，违法情节轻微，但责令限期缴纳，逾期拒不缴纳的。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处应缴纳污水处理费数额1倍罚款。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责令限期缴纳，逾期拒不缴纳，不具有从轻、从重情形的。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处应缴纳污水处理费数额1倍以上2倍以下罚款。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（1）责令限期缴纳，逾期3个月以上未缴纳的；（2）曾因实施该违法行为被查处，再次实施该违法行为，责令限期缴纳，逾期拒不缴纳的；（3）责令限期缴纳，逾期拒不缴纳，造成不良社会影响的。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处应缴纳污水处理费数额2倍以上3倍以下罚款。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99"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376</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设施维护运营单位有下列情形之一的：（1）未按照国家有关规定履行日常巡查、维修和养护责任，保障设施安全运行的；（2）未及时采取防护措施、组织事故抢修的；（3）因巡查、维护不到位，导致窨井盖丢失、损毁，造成人员伤亡和财产损失的</w:t>
            </w:r>
            <w:r>
              <w:rPr>
                <w:rFonts w:hint="eastAsia" w:ascii="仿宋_GB2312" w:hAnsi="宋体" w:eastAsia="仿宋_GB2312"/>
                <w:color w:val="000000" w:themeColor="text1"/>
                <w:kern w:val="0"/>
                <w:szCs w:val="21"/>
                <w14:textFill>
                  <w14:solidFill>
                    <w14:schemeClr w14:val="tx1"/>
                  </w14:solidFill>
                </w14:textFill>
              </w:rPr>
              <w:t>。</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《城镇排水与污水处理条例》第三十八条、第三十九条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《城镇排水与污水处理条例》第五十五条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一）未按照国家有关规定履行日常巡查、维修和养护责任，保障设施安全运行的；（二）未及时采取防护措施、组织事故抢修的；（三）因巡查、维护不到位，导致窨井盖丢失、损毁，造成人员伤亡和财产损失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初次违法，及时改正，未造成严重后果的。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8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（1）逾期不改正，尚未造成严重后果的；（2）及时改正，但已造成严重后果的。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责令改正，处10万元以上30万元以下罚款。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9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（1）逾期不改正，且已造成了严重后果的；（2）曾因实施该违法行为被查处，再次实施该违法行为，且已造成严重后果的。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责令改正，处30万元以上50万元以下罚款。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39"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377</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从事危及城镇排水与污水处理设施安全的活动的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《城镇排水与污水处理条例》第四十二条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《城镇排水与污水处理条例》第五十六条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初次违法，及时采取补救措施，未造成严重后果的。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责令停止违法行为，限期恢复原状或者采取其他补救措施，给予警告。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（1）逾期不采取补救措施，但尚未造成严重后果的；（2）及时采取补救措施，但已造成严重后果的。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责令停止违法行为，限期恢复原状或者采取其他补救措施，对单位处10万元以上20万元以下罚款，对个人处2万元以上5万元以下罚款。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4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（1）逾期不采取补救措施，且已造成严重后果的；（2）曾因实施该违法行为被查处，再次实施该违法行为，且已造成严重后果的；（3）造成安全事故的。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责令停止违法行为，限期恢复原状或者采取其他补救措施，对单位处20万元以上30万元以下罚款，对个人处5万元以上10万元以下罚款。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66"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378</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有关单位未与施工单位、设施维护运营单位等共同制定设施保护方案，并采取相应的安全防护措施的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《城镇排水与污水处理条例》第四十三条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 城镇排水与污水处理条例》第五十七条第一款</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初次违法，及时改正并制定设施保护方案的。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责令改正，处2万元以上5万元以下罚款。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73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（1）已影响排水设施安全的；（2）造成安全事故的；（3）造成其他严重后果的。</w:t>
            </w:r>
          </w:p>
        </w:tc>
        <w:tc>
          <w:tcPr>
            <w:tcW w:w="3232" w:type="dxa"/>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2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32" w:type="dxa"/>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379</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擅自拆除、改动城镇排水与污水处理设施的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《城镇排水与污水处理条例》四十三条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《城镇排水与污水处理条例》第五十七条第二款</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初次违法，及时恢复原状，并将拆除、改动方案报主管部门批准的。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责令改正，恢复原状或者采取其他补救措施，处5万元以上7万元以下罚款。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责令改正，恢复原状或者采取其他补救措施，处7万元以上10万元以下罚款。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2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（1）已影响排水设施安全的；（2）造成安全事故的；（3）造成其他严重后果的。</w:t>
            </w:r>
          </w:p>
        </w:tc>
        <w:tc>
          <w:tcPr>
            <w:tcW w:w="3232" w:type="dxa"/>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责令改正，恢复原状或者采取其他补救措施，处10万元以上30万元以下罚款。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3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3232" w:type="dxa"/>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380</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排水户名称、法定代表人等其他事项变更，未及时向城镇排水主管部门申请办理变更的</w:t>
            </w:r>
          </w:p>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《城镇污水排入排水管网许可管理办法》第十一条</w:t>
            </w:r>
          </w:p>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《城镇污水排入排水管网许可管理办法》第二十八条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排水户名称、法定代表人等其他事项变更，未按本办法规定及时向城镇排水主管部门申请办理变更的，由城镇排水主管部门责令改正，可以处3万元以下罚款。</w:t>
            </w:r>
          </w:p>
          <w:p>
            <w:pPr>
              <w:widowControl/>
              <w:spacing w:line="240" w:lineRule="auto"/>
              <w:rPr>
                <w:rFonts w:ascii="仿宋_GB2312" w:hAnsi="宋体" w:eastAsia="仿宋_GB2312" w:cs="宋体"/>
                <w:color w:val="000000" w:themeColor="text1"/>
                <w:szCs w:val="21"/>
                <w14:textFill>
                  <w14:solidFill>
                    <w14:schemeClr w14:val="tx1"/>
                  </w14:solidFill>
                </w14:textFill>
              </w:rPr>
            </w:pPr>
          </w:p>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超过规定期限1个月以内未申请办理变更的。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责令改正，可以处1万元以下罚款。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超过规定期限1个月以上2个月以下未申请办理变更的。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责令改正，可以处1万元以上2万元以下罚款。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超过规定期限2个月以上未申请办理变更的。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责令改正，可以处2万元以上3万元以下罚款。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381</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排水户以欺骗、贿赂等不正当手段取得排水许可的</w:t>
            </w:r>
          </w:p>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《城镇污水排入排水管网许可管理办法》第二十条</w:t>
            </w:r>
          </w:p>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《城镇污水排入排水管网许可管理办法》第二十九条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排水户以欺骗、贿赂等不正当手段取得排水许可的，可以处3万元以下罚款；造成损失的，依法承担赔偿责任；构成犯罪的，依法追究刑事责任。</w:t>
            </w:r>
          </w:p>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可以处以1万元罚款。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可以处1万元以上2万元以下罚款。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可以处2万元以上3万元以下罚款。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382</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排水户因发生事故或者其他突发事件，排放的污水可能危及城镇排水与污水处理设施安全运行，没有立即停止排放，未采取措施消除危害，或者并未按规定及时向城镇排水主管部门等有关部门报告的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《城镇污水排入排水管网许可管理办法》第十四条</w:t>
            </w:r>
          </w:p>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《城镇污水排入排水管网许可管理办法》第三十条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3万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可以处以1万元罚款。</w:t>
            </w:r>
          </w:p>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可以处1万元以上2万元以下罚款。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43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可以处2万元以上3万元以下罚款。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383</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从事危及城镇排水设施安全的活动的</w:t>
            </w:r>
          </w:p>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《城镇污水排入排水管网许可管理办法》第十三条</w:t>
            </w:r>
          </w:p>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《城镇污水排入排水管网许可管理办法》第三十一条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办法规定，从事危及城镇排水设施安全的活动的，由城镇排水主管部门责令停止违法行为，限期恢复原状或者采取其他补救措施，并给予警告；逾期不采取补救措施或者造成严重后果的，对单位处10万元以上30万元以下罚款，对个人处2万元以上10万元以下罚款；造成损失的，依法承担赔偿责任；构成犯罪的，依法追究刑事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初次违法，及时改正，未造成严重后果的。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责令停止违法行为，限期恢复原状或者采取其他补救措施，并给予警告。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（1）逾期不采取补救措施，但尚未造成严重后果的；（2）采取补救措施但仍造成严重后果的。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对单位处10万元以上20万元以下罚款，对个人处2万元以上5万元以下罚款。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8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（1）逾期不改正，且已造成严重后果的；（2）曾因实施该违法行为被查处，再次实施该违法行为，且已造成严重后果的。</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对单位处20万元以上30万元以下罚款，对个人处5万元以上10万元以下罚款。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384</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排水户拒不接受水质、水量监测或者妨碍、阻挠城镇排水主管部门依法监督检查的</w:t>
            </w:r>
          </w:p>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《城镇污水排入排水管网许可管理办法》第十七条、第十八条</w:t>
            </w:r>
          </w:p>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《城镇污水排入排水管网许可管理办法》第三十二条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排水户违反本办法规定，拒不接受水质、水量监测或者妨碍、阻挠城镇排水主管部门依法监督检查的，由城镇排水主管部门给予警告；情节严重的，处3万元以下罚款。</w:t>
            </w:r>
          </w:p>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情节严重，</w:t>
            </w:r>
            <w:r>
              <w:rPr>
                <w:rFonts w:hint="eastAsia" w:ascii="仿宋_GB2312" w:hAnsi="宋体" w:eastAsia="仿宋_GB2312" w:cs="宋体"/>
                <w:color w:val="000000" w:themeColor="text1"/>
                <w:kern w:val="0"/>
                <w:szCs w:val="21"/>
                <w14:textFill>
                  <w14:solidFill>
                    <w14:schemeClr w14:val="tx1"/>
                  </w14:solidFill>
                </w14:textFill>
              </w:rPr>
              <w:t>不具有从重情形的。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处1万元以下罚款。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（1）情节严重，责令限期改正后，不及时改正的；（2）情节严重，且曾因该违法行为被查处，再次实施该违法行为的；（3）情节严重，造成严重危害后果的。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385</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排污者在城市排水设施覆盖范围内，擅自将污水直接排入水体，规避缴纳城市污水处理费的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《安徽省城市污水处理费管理暂行办法》第九条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《安徽省污水处理费管理暂行办法》第十九条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排污者在城市排水设施覆盖范围内，擅自将污水直接排入水体，规避缴纳城市污水处理费的，由市、县人民政府城市污水处理行政主管部门或者财政部门按照各自职责，责令改正，处以1万元以上3万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初次违法，主动改正的。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1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62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（1）曾因实施该违法行为被查处，再次实施该违法行为的；（2）对水环境造成影响的的；（3）造成不良社会影响的。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334"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386</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城市污水集中处理设施运营企业谎报实际运行数据或者编造虚假数据，骗取城市污水处理费的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《安徽省城市污水处理费管理暂行办法》第二十条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《安徽省污水处理费管理暂行办法》第二十条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污水集中处理设施运营企业谎报实际运行数据或者编造虚假数据，骗取城市污水处理费的，由市、县人民政府城市污水处理行政主管部门责令改正，追缴骗取的城市污水处理费，处以骗取款1倍以上3倍以下的罚款，罚款不得超过3万元；构成犯罪的，依法追究刑事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初次违法，及时改正的。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责令改正，追缴骗取的城市污水处理费，处以骗取款1倍的罚款，罚款不得超过1万元。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01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责令改正，追缴骗取的城市污水处理费，处以骗取款1倍以上2倍以下的罚款，罚款不得超过2万元。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44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（1）曾因实施该违法行为被查处，再次实施该违法行为的；（2）造成不良社会影响的。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责令改正，追缴骗取的城市污水处理费，处以骗取款2倍以上3倍以下罚款，罚款不得超过3万元。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758"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387</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有下列行为之一的：（1）未取得设计、施工资格或者未按照资质等级承担城市道路的设计、施工任务的；（2）未按照城市道路设计、施工技术规范设计、施工的；（3）未按照设计图纸施工或者擅自修改图纸的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《城市道路管理条例》第十六条、第十七条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《城市道路管理条例》第三十九条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的规定，有下列行为之一的，由市政工程行政主管部门责令停止设计、施工，限期改正，可以并处3万元以下的罚款；已经取得设计、施工资格证书，情节严重的，提请原发证机关吊销设计、施工资格证书：（一）未取得设计、施工资格或者未按照资质等级承担城市道路的设计、施工任务的；（二）未按照城市道路设计、施工技术规范设计、施工的；（三）未按照设计图纸施工或者擅自修改图纸的。</w:t>
            </w:r>
          </w:p>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初次违法，危害后果轻微，及时改正的。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责令停止设计、施工，限期改正，可以并处1万元以下的罚款。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2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责令停止设计、施工，限期改正，可以并处1万元以上2万元以下的罚款。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p>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（1）经责令停止违法行为后，继续实施违法行为的；（2）曾因无资质或超资质被查处，再次实施该违法行为的。</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p>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责令停止设计、施工，限期改正，可以并处2万元以上3万元以下的罚款；提请原发证机关吊销设计、施工资格证书。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388</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擅自使用未经验收或者验收不合格的城市道路的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《城市道路管理条例》第十七条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违反本条例第十七条规定，擅自使用未经验收或者验收不合格的城市道路的，由市政工程行政主管部门责令限期改正，给予警告，可以并处工程造价2%以下的罚款。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初次违法，危害后果轻微，及时改正的。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责令限期改正，给予警告，可以并处工程造价1%以下的罚款。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责令限期改正，给予警告，可以并处工程造价1%以上1.5%以下的罚款。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责令限期改正，给予警告，可以并处工程造价1.5%以上2%以下的罚款。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67"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389</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擅自占用或者挖掘城市道路的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《城市道路管理条例》第二十七条第一项</w:t>
            </w:r>
          </w:p>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56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96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624"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390</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履带车、铁轮车或者超重、超高、超长车辆擅自在城市道路上行驶的</w:t>
            </w:r>
          </w:p>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《城市道路管理条例》第二十七条第二项</w:t>
            </w:r>
          </w:p>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58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242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166"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391</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机动车在桥梁或者非指定的城市道路上试刹车的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《城市道路管理条例》第二十七条第三项</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17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250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499"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392</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擅自在城市道路上建设建筑物、构筑物的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《城市道路管理条例》第二十七条第四项</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64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40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941"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393</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在桥梁上架设压力在4公斤/平方厘米(0.4兆帕)以上的煤气管道、10千伏以上的高压电力线和其他易燃易爆管线的</w:t>
            </w:r>
          </w:p>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《城市道路管理条例》第二十七条第五项</w:t>
            </w:r>
          </w:p>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79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221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684"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394</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擅自在桥梁或者路灯设施上设置广告牌或者其他挂浮物的</w:t>
            </w:r>
          </w:p>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《城市道路管理条例》第二十七条第六项</w:t>
            </w:r>
          </w:p>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28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34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686"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395</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有其他损害、侵占城市道路的行为的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《城市道路管理条例》第二十七条第七项</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67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239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775"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396</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未对设在城市道路上的各种管线的检查井、箱盖或者城市道路附属设施的缺损及时补缺或者修复的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《城市道路管理条例》第二十三条</w:t>
            </w:r>
          </w:p>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637" w:hRule="atLeast"/>
          <w:jc w:val="center"/>
        </w:trPr>
        <w:tc>
          <w:tcPr>
            <w:tcW w:w="566" w:type="dxa"/>
            <w:gridSpan w:val="2"/>
            <w:vMerge w:val="continue"/>
            <w:tcBorders>
              <w:tl2br w:val="nil"/>
              <w:tr2bl w:val="nil"/>
            </w:tcBorders>
            <w:tcMar>
              <w:top w:w="15" w:type="dxa"/>
              <w:left w:w="15" w:type="dxa"/>
              <w:bottom w:w="15" w:type="dxa"/>
              <w:right w:w="15" w:type="dxa"/>
            </w:tcMar>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390" w:hRule="atLeast"/>
          <w:jc w:val="center"/>
        </w:trPr>
        <w:tc>
          <w:tcPr>
            <w:tcW w:w="566" w:type="dxa"/>
            <w:gridSpan w:val="2"/>
            <w:vMerge w:val="continue"/>
            <w:tcBorders>
              <w:tl2br w:val="nil"/>
              <w:tr2bl w:val="nil"/>
            </w:tcBorders>
            <w:tcMar>
              <w:top w:w="15" w:type="dxa"/>
              <w:left w:w="15" w:type="dxa"/>
              <w:bottom w:w="15" w:type="dxa"/>
              <w:right w:w="15" w:type="dxa"/>
            </w:tcMar>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587"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397</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未在城市道路施工现场设置明显标志和安全防围设施的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《城市道路管理条例》第三十五条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751" w:hRule="atLeast"/>
          <w:jc w:val="center"/>
        </w:trPr>
        <w:tc>
          <w:tcPr>
            <w:tcW w:w="566" w:type="dxa"/>
            <w:gridSpan w:val="2"/>
            <w:vMerge w:val="continue"/>
            <w:tcBorders>
              <w:tl2br w:val="nil"/>
              <w:tr2bl w:val="nil"/>
            </w:tcBorders>
            <w:tcMar>
              <w:top w:w="15" w:type="dxa"/>
              <w:left w:w="15" w:type="dxa"/>
              <w:bottom w:w="15" w:type="dxa"/>
              <w:right w:w="15" w:type="dxa"/>
            </w:tcMar>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2518" w:hRule="atLeast"/>
          <w:jc w:val="center"/>
        </w:trPr>
        <w:tc>
          <w:tcPr>
            <w:tcW w:w="566" w:type="dxa"/>
            <w:gridSpan w:val="2"/>
            <w:vMerge w:val="continue"/>
            <w:tcBorders>
              <w:tl2br w:val="nil"/>
              <w:tr2bl w:val="nil"/>
            </w:tcBorders>
            <w:tcMar>
              <w:top w:w="15" w:type="dxa"/>
              <w:left w:w="15" w:type="dxa"/>
              <w:bottom w:w="15" w:type="dxa"/>
              <w:right w:w="15" w:type="dxa"/>
            </w:tcMar>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209"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398</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占用城市道路期满或者挖掘城市道路后，不及时清理现场的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《城市道路管理条例》第三十一条、第三十五条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占用期满或挖掘城市道路后，未及时清理现场1日以内的。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82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占用期满或挖掘城市道路后，未及时清理现场1日以上2日以下的。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221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占用期满或挖掘城市道路后，未及时清理现场2日以上的；（2）造成严重危害后果的。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627"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399</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依附于城市道路建设各种管线、杆线等设施，不按照规定办理批准手续的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《城市道路管理条例》第二十九条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70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220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684"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400</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紧急抢修埋设在城市道路下的管线，不按照规定补办批准手续的</w:t>
            </w:r>
          </w:p>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《城市道路管理条例》第三十四条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紧急抢修埋设在城市道路下的管线，不按照规定补办批准手续，超过规定时限5日以下的。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88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紧急抢修埋设在城市道路下的管线，不按照规定补办批准手续，超过规定时限5日以上10日以下的。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61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（1）紧急抢修埋设在城市道路下的管线，不按照规定补办批准手续，超过规定时限10日以上的；（2）造成严重危害后果的。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909"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401</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未按照批准的位置、面积、期限占用或者挖掘城市道路，或者需要移动位置、扩大面积、延长时间，未提前办理变更审批手续的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《城市道路管理条例》第三十六条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75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26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（1）未按照批准的位置、面积、期限占用或者挖掘的城市道路</w:t>
            </w:r>
            <w:r>
              <w:rPr>
                <w:rFonts w:hint="eastAsia" w:ascii="仿宋_GB2312" w:hAnsi="宋体" w:eastAsia="仿宋_GB2312" w:cs="宋体"/>
                <w:color w:val="000000" w:themeColor="text1"/>
                <w:kern w:val="0"/>
                <w:szCs w:val="21"/>
                <w14:textFill>
                  <w14:solidFill>
                    <w14:schemeClr w14:val="tx1"/>
                  </w14:solidFill>
                </w14:textFill>
              </w:rPr>
              <w:t>位于主干道、重点路段的；（2）造成严重危害后果的。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402</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未取得燃气经营许可证从事燃气经营活动的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《城镇燃气管理条例》第十五条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《城镇燃气管理条例》第四十五条第一款</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违反本条例规定，未取得燃气经营许可证从事燃气经营活动的，由燃气管理部门责令停止违法行为，处5万元以上50万元以下罚款；有违法所得的，没收违法所得；构成犯罪的，依法追究刑事责任。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责令停止违法行为，处5万元以上10万元以下罚款；有违法所得的，没收违法所得。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5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责令停止违法行为，处10万元以上30万元以下罚款；有违法所得的，没收违法所得。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责令停止违法行为，处30万元以上50万元以下罚款；有违法所得的，没收违法所得。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91"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403</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经营瓶装燃气未取得燃气经营许可证的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《安徽省城镇燃气管理条例》第二十二条第二款</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p>
            <w:pPr>
              <w:widowControl/>
              <w:spacing w:line="240" w:lineRule="auto"/>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《安徽省城镇燃气管理条例》第五十条</w:t>
            </w:r>
          </w:p>
          <w:p>
            <w:pPr>
              <w:widowControl/>
              <w:spacing w:line="240" w:lineRule="auto"/>
              <w:ind w:firstLine="315" w:firstLineChars="15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违反本条例第二十二条第二款规定，经营瓶装燃气未取得燃气经营许可证的，由县级以上人民政府城市管理部门责令停止违法行为，处十万元以上五十万元以下罚款；有违法所得的，没收违法所得。</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责令停止违法行为，处10万元以上20万元以下罚款；有违法所得的，没收违法所得。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7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责令停止违法行为，处20万元以上35万元以下罚款；有违法所得的，没收违法所得。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5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责令停止违法行为，处35万元以上50万元以下罚款；有违法所得的，没收违法所得。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24"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404</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燃气经营者不按照燃气经营许可证的规定从事燃气经营活动的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《城镇燃气管理条例》第四十五条第二款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《城镇燃气管理条例》第四十五条第二款</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责令限期改正，处3万元以上10万元以下罚款；有违法所得的，没收违法所得。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6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责令限期改正，处10万元以上15万元以下罚款；有违法所得的，没收违法所得。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6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责令限期改正，处15万元以上20万元以下罚款；有违法所得的，没收违法所得；吊销燃气经营许可证。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87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405</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拒绝向市政燃气管网覆盖范围内符合用气条件的单位或者个人供气的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《城镇燃气管理条例》第十八条第一项；《安徽省城镇燃气管理条例》第三十条第一项</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w:t>
            </w:r>
            <w:bookmarkStart w:id="14" w:name="46"/>
            <w:r>
              <w:rPr>
                <w:rFonts w:hint="eastAsia" w:ascii="仿宋_GB2312" w:hAnsi="宋体" w:eastAsia="仿宋_GB2312" w:cs="宋体"/>
                <w:color w:val="000000" w:themeColor="text1"/>
                <w:kern w:val="0"/>
                <w:szCs w:val="21"/>
                <w14:textFill>
                  <w14:solidFill>
                    <w14:schemeClr w14:val="tx1"/>
                  </w14:solidFill>
                </w14:textFill>
              </w:rPr>
              <w:t>第四十六条</w:t>
            </w:r>
            <w:bookmarkEnd w:id="14"/>
            <w:r>
              <w:rPr>
                <w:rFonts w:hint="eastAsia" w:ascii="仿宋_GB2312" w:hAnsi="宋体" w:eastAsia="仿宋_GB2312" w:cs="宋体"/>
                <w:color w:val="000000" w:themeColor="text1"/>
                <w:kern w:val="0"/>
                <w:szCs w:val="21"/>
                <w14:textFill>
                  <w14:solidFill>
                    <w14:schemeClr w14:val="tx1"/>
                  </w14:solidFill>
                </w14:textFill>
              </w:rPr>
              <w:t>第一项</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pPr>
              <w:pStyle w:val="11"/>
              <w:spacing w:before="0" w:beforeAutospacing="0" w:after="0" w:afterAutospacing="0" w:line="240" w:lineRule="auto"/>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《安徽省城镇燃气管理条例》第五十一条第一款第一项</w:t>
            </w:r>
          </w:p>
          <w:p>
            <w:pPr>
              <w:pStyle w:val="11"/>
              <w:spacing w:before="0" w:beforeAutospacing="0" w:after="0" w:afterAutospacing="0" w:line="240" w:lineRule="auto"/>
              <w:ind w:firstLine="210" w:firstLineChars="100"/>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违反本条例第三十条第一项至第六项规定，有下列情形之一的，由城市管理部门责令限期改正，处二万元以上十万元以下罚款；有违法所得的，没收违法所得；情节严重的，吊销燃气经营许可证；造成损失的，依法承担赔偿责任：(一)拒绝向市政燃气管网覆盖范围内符合用气条件的单位或者个人供气；(二)倒卖、抵押、出租、出借、转让、涂改燃气经营许可证；(三)未履行必要告知义务擅自停止供气、调整供气量，或者未经审批擅自停业或者歇业；(四)向未取得燃气经营许可证的单位或者个人提供用于经营的燃气；(五)在不具备安全条件的场所储存燃气；(六)要求燃气用户购买其指定的产品或者接受其提供的有偿服务。</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79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3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28"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406</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倒卖、抵押、出租、出借、转让、涂改燃气经营许可证的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《城镇燃气管理条例》第十八条第二项；《安徽省城镇燃气管理条例》第三十条第二项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《城镇燃气管理条例》第四十六条第二项</w:t>
            </w:r>
          </w:p>
          <w:p>
            <w:pPr>
              <w:pStyle w:val="11"/>
              <w:spacing w:before="0" w:beforeAutospacing="0" w:after="0" w:afterAutospacing="0" w:line="240" w:lineRule="auto"/>
              <w:ind w:firstLine="210" w:firstLineChars="100"/>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pPr>
              <w:pStyle w:val="11"/>
              <w:spacing w:before="0" w:beforeAutospacing="0" w:after="0" w:afterAutospacing="0" w:line="240" w:lineRule="auto"/>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《安徽省城镇燃气管理条例》第五十一条第一款第二项</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三十条第一项至第六项规定，有下列情形之一的，由城市管理部门责令限期改正，处二万元以上十万元以下罚款；有违法所得的，没收违法所得；情节严重的，吊销燃气经营许可证；造成损失的，依法承担赔偿责任：(一)拒绝向市政燃气管网覆盖范围内符合用气条件的单位或者个人供气；(二)倒卖、抵押、出租、出借、转让、涂改燃气经营许可证；(三)未履行必要告知义务擅自停止供气、调整供气量，或者未经审批擅自停业或者歇业；(四)向未取得燃气经营许可证的单位或者个人提供用于经营的燃气；(五)在不具备安全条件的场所储存燃气；(六)要求燃气用户购买其指定的产品或者接受其提供的有偿服务。</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96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1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640"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407</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未履行必要告知义务擅自停止供气、调整供气量，或者未经审批擅自停业或者歇业的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《城镇燃气管理条例》第十八条第三项；《安徽省城镇燃气管理条例》第三十条第三项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《城镇燃气管理条例》第四十六条第三项</w:t>
            </w:r>
          </w:p>
          <w:p>
            <w:pPr>
              <w:pStyle w:val="11"/>
              <w:spacing w:before="0" w:beforeAutospacing="0" w:after="0" w:afterAutospacing="0" w:line="240" w:lineRule="auto"/>
              <w:ind w:firstLine="210" w:firstLineChars="100"/>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 （四）向未取得燃气经营许可证的单位或者个人提供用于经营的燃气的；（五）在不具备安全条件的场所储存燃气的；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pPr>
              <w:pStyle w:val="11"/>
              <w:spacing w:before="0" w:beforeAutospacing="0" w:after="0" w:afterAutospacing="0" w:line="240" w:lineRule="auto"/>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《安徽省城镇燃气管理条例》第五十一条第一款第三项</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三十条第一项至第六项规定，有下列情形之一的，由城市管理部门责令限期改正，处二万元以上十万元以下罚款；有违法所得的，没收违法所得；情节严重的，吊销燃气经营许可证；造成损失的，依法承担赔偿责任：(一)拒绝向市政燃气管网覆盖范围内符合用气条件的单位或者个人供气；(二)倒卖、抵押、出租、出借、转让、涂改燃气经营许可证；(三)未履行必要告知义务擅自停止供气、调整供气量，或者未经审批擅自停业或者歇业；(四)向未取得燃气经营许可证的单位或者个人提供用于经营的燃气；(五)在不具备安全条件的场所储存燃气；(六)要求燃气用户购买其指定的产品或者接受其提供的有偿服务。</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54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69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35"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408</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向未取得燃气经营许可证的单位或者个人提供用于经营的燃气的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《城镇燃气管理条例》第十八条第四项；《安徽省城镇燃气管理条例》第三十条第四项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《城镇燃气管理条例》第四十六条第四项</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 （四）向未取得燃气经营许可证的单位或者个人提供用于经营的燃气的；（五）在不具备安全条件的场所储存燃气的；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pPr>
              <w:pStyle w:val="11"/>
              <w:spacing w:before="0" w:beforeAutospacing="0" w:after="0" w:afterAutospacing="0" w:line="240" w:lineRule="auto"/>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《安徽省城镇燃气管理条例》第五十一条第一款第四项</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三十条第一项至第六项规定，有下列情形之一的，由城市管理部门责令限期改正，处二万元以上十万元以下罚款；有违法所得的，没收违法所得；情节严重的，吊销燃气经营许可证；造成损失的，依法承担赔偿责任：(一)拒绝向市政燃气管网覆盖范围内符合用气条件的单位或者个人供气；(二)倒卖、抵押、出租、出借、转让、涂改燃气经营许可证；(三)未履行必要告知义务擅自停止供气、调整供气量，或者未经审批擅自停业或者歇业；(四)向未取得燃气经营许可证的单位或者个人提供用于经营的燃气；(五)在不具备安全条件的场所储存燃气；(六)要求燃气用户购买其指定的产品或者接受其提供的有偿服务。</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75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5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127"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409</w:t>
            </w:r>
          </w:p>
        </w:tc>
        <w:tc>
          <w:tcPr>
            <w:tcW w:w="1440"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在不具备安全条件的场所储存燃气的</w:t>
            </w:r>
          </w:p>
        </w:tc>
        <w:tc>
          <w:tcPr>
            <w:tcW w:w="1115" w:type="dxa"/>
            <w:gridSpan w:val="3"/>
            <w:vMerge w:val="restart"/>
            <w:tcBorders>
              <w:tl2br w:val="nil"/>
              <w:tr2bl w:val="nil"/>
            </w:tcBorders>
            <w:vAlign w:val="center"/>
          </w:tcPr>
          <w:p>
            <w:pPr>
              <w:widowControl/>
              <w:spacing w:line="240" w:lineRule="auto"/>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《城镇燃气管理条例》第十八条第五项；《安徽省城镇燃气管理条例》第三十条第五项</w:t>
            </w:r>
          </w:p>
        </w:tc>
        <w:tc>
          <w:tcPr>
            <w:tcW w:w="4255"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《城镇燃气管理条例》第四十六条第五项</w:t>
            </w:r>
          </w:p>
          <w:p>
            <w:pPr>
              <w:pStyle w:val="11"/>
              <w:spacing w:before="0" w:beforeAutospacing="0" w:after="0" w:afterAutospacing="0" w:line="240" w:lineRule="auto"/>
              <w:ind w:firstLine="210" w:firstLineChars="100"/>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pPr>
              <w:pStyle w:val="11"/>
              <w:spacing w:before="0" w:beforeAutospacing="0" w:after="0" w:afterAutospacing="0" w:line="240" w:lineRule="auto"/>
              <w:ind w:firstLine="105" w:firstLineChars="50"/>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《安徽省城镇燃气管理条例》第五十一条第一款第五项</w:t>
            </w:r>
          </w:p>
          <w:p>
            <w:pPr>
              <w:widowControl/>
              <w:spacing w:line="240" w:lineRule="auto"/>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三十条第一项至第六项规定，有下列情形之一的，由城市管理部门责令限期改正，处二万元以上十万元以下罚款；有违法所得的，没收违法所得；情节严重的，吊销燃气经营许可证；造成损失的，依法承担赔偿责任：(一)拒绝向市政燃气管网覆盖范围内符合用气条件的单位或者个人供气；(二)倒卖、抵押、出租、出借、转让、涂改燃气经营许可证；(三)未履行必要告知义务擅自停止供气、调整供气量，或者未经审批擅自停业或者歇业；(四)向未取得燃气经营许可证的单位或者个人提供用于经营的燃气；(五)在不具备安全条件的场所储存燃气；(六)要求燃气用户购买其指定的产品或者接受其提供的有偿服务。</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87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2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081"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410</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要求燃气用户购买其指定的产品或者接受其提供的服务的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《城镇燃气管理条例》第十八条第六项；《安徽省城镇燃气管理条例》第三十条第六项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《城镇燃气管理条例》第四十六条第六项</w:t>
            </w:r>
          </w:p>
          <w:p>
            <w:pPr>
              <w:pStyle w:val="11"/>
              <w:spacing w:before="0" w:beforeAutospacing="0" w:after="0" w:afterAutospacing="0" w:line="240" w:lineRule="auto"/>
              <w:ind w:firstLine="210" w:firstLineChars="100"/>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pPr>
              <w:pStyle w:val="11"/>
              <w:spacing w:before="0" w:beforeAutospacing="0" w:after="0" w:afterAutospacing="0" w:line="240" w:lineRule="auto"/>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《安徽省城镇燃气管理条例》第五十一条第一款第六项</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三十条第一项至第六项规定，有下列情形之一的，由城市管理部门责令限期改正，处二万元以上十万元以下罚款；有违法所得的，没收违法所得；情节严重的，吊销燃气经营许可证；造成损失的，依法承担赔偿责任：(一)拒绝向市政燃气管网覆盖范围内符合用气条件的单位或者个人供气；(二)倒卖、抵押、出租、出借、转让、涂改燃气经营许可证；(三)未履行必要告知义务擅自停止供气、调整供气量，或者未经审批擅自停业或者歇业；(四)向未取得燃气经营许可证的单位或者个人提供用于经营的燃气；(五)在不具备安全条件的场所储存燃气；(六)要求燃气用户购买其指定的产品或者接受其提供的有偿服务。</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21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89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91"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411</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燃气经营者未向燃气用户持续、稳定、安全供应符合国家质量标准的燃气，或者未对燃气用户的燃气设施定期进行安全检查的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《城镇燃气管理条例》第十七条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《城镇燃气管理条例》第四十六条第七项</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未持续、稳定、安全供气2日以下，或未对50户以下燃气用户的燃气设施定期进行安全检查的。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责令限期改正，处1万元以上4万元以下罚款；有违法所得的，没收违法所得。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18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未持续、稳定、安全供气2日以上5日以下的，或未对50户以上500户以下燃气用户的燃气设施定期进行安全检查的。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未持续、稳定、安全供气5日以上的，或未对500户以上燃气用户的燃气设施定期进行安全检查的。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54"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412</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《城镇燃气管理条例》第三十五条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bookmarkStart w:id="15" w:name="48"/>
            <w:r>
              <w:rPr>
                <w:rFonts w:hint="eastAsia" w:ascii="仿宋_GB2312" w:hAnsi="宋体" w:eastAsia="仿宋_GB2312" w:cs="宋体"/>
                <w:color w:val="000000" w:themeColor="text1"/>
                <w:kern w:val="0"/>
                <w:szCs w:val="21"/>
                <w14:textFill>
                  <w14:solidFill>
                    <w14:schemeClr w14:val="tx1"/>
                  </w14:solidFill>
                </w14:textFill>
              </w:rPr>
              <w:t>《城镇燃气管理条例》第四十八条</w:t>
            </w:r>
            <w:bookmarkEnd w:id="15"/>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2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4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（1）经责令停止违法行为后，继续实施该违法行为的；（2）曾因实施该违法行为被查处，再次实施该违法行为的；（3）造成严重危害后果的。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938"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413</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燃气用户及相关单位和个人有下列行为之一的：（1）擅自操作公用燃气阀门的；（2）将燃气管道作为负重支架或者接地引线的；（3）安装、使用不符合气源要求的燃气燃烧器具的；（4）擅自安装、改装、拆除户内燃气设施和燃气计量装置的；（5）在不具备安全条件的场所使用、储存燃气的；（6）改变燃气用途或者转供燃气的；（7）未设立售后服务站点或者未配备经考核合格的燃气燃烧器具安装、维修人员的；（8）燃气燃烧器具的安装、维修不符合国家有关标准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《城镇燃气管理条例》第二十八条、第三十二条</w:t>
            </w:r>
          </w:p>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《城镇燃气管理条例》第四十九条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一）擅自操作公用燃气阀门的；（二）将燃气管道作为负重支架或者接地引线的；（三）安装、使用不符合气源要求的燃气燃烧器具的；（四）擅自安装、改装、拆除户内燃气设施和燃气计量装置的；（五）在不具备安全条件的场所使用、储存燃气的；（六）改变燃气用途或者转供燃气的；（七）未设立售后服务站点或者未配备经考核合格的燃气燃烧器具安装、维修人员的；（八）燃气燃烧器具的安装、维修不符合国家有关标准的。</w:t>
            </w:r>
            <w:r>
              <w:rPr>
                <w:rFonts w:hint="eastAsia" w:ascii="仿宋_GB2312" w:hAnsi="宋体" w:eastAsia="仿宋_GB2312" w:cs="宋体"/>
                <w:color w:val="000000" w:themeColor="text1"/>
                <w:kern w:val="0"/>
                <w:szCs w:val="21"/>
                <w14:textFill>
                  <w14:solidFill>
                    <w14:schemeClr w14:val="tx1"/>
                  </w14:solidFill>
                </w14:textFill>
              </w:rPr>
              <w:br w:type="textWrapping"/>
            </w:r>
            <w:r>
              <w:rPr>
                <w:rFonts w:hint="eastAsia" w:ascii="仿宋_GB2312" w:hAnsi="宋体" w:eastAsia="仿宋_GB2312" w:cs="宋体"/>
                <w:color w:val="000000" w:themeColor="text1"/>
                <w:kern w:val="0"/>
                <w:szCs w:val="21"/>
                <w14:textFill>
                  <w14:solidFill>
                    <w14:schemeClr w14:val="tx1"/>
                  </w14:solidFill>
                </w14:textFill>
              </w:rPr>
              <w:t>　  盗用燃气的，依照有关治安管理处罚的法律规定进行处罚。</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责令限期改正；逾期不改正的，对单位可以处1万元以上3万元以下罚款，对个人可以处100元以上300元以下罚款。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0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责令限期改正；逾期不改正的，对单位可以处3万元以上5万元以下罚款，对个人可以处300元以上500元以下罚款。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（1）曾因实施该违法行为被查处，再次实施该违法行为的；（2）造成严重危害后果的。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责令限期改正；逾期不改正的，对单位可以处5万元以上10万元以下罚款，对个人可以处500元以上1千元以下罚款。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94"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414</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燃气设施保护范围内从事下列活动之一的：（1）进行爆破、取土等作业或者动用明火的；（2）倾倒、排放腐蚀性物质的；（3）放置易燃易爆物品或者种植深根植物的；（4）未与燃气经营者共同制定燃气设施保护方案，采取相应的安全保护措施，从事敷设管道、打桩、顶进、挖掘、钻探等可能影响燃气设施安全活动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《城镇燃气管理条例》第三十三条、第三十四条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bookmarkStart w:id="16" w:name="50"/>
            <w:r>
              <w:rPr>
                <w:rFonts w:hint="eastAsia" w:ascii="仿宋_GB2312" w:hAnsi="宋体" w:eastAsia="仿宋_GB2312" w:cs="宋体"/>
                <w:color w:val="000000" w:themeColor="text1"/>
                <w:kern w:val="0"/>
                <w:szCs w:val="21"/>
                <w14:textFill>
                  <w14:solidFill>
                    <w14:schemeClr w14:val="tx1"/>
                  </w14:solidFill>
                </w14:textFill>
              </w:rPr>
              <w:t>《城镇燃气管理条例》第五十条</w:t>
            </w:r>
          </w:p>
          <w:bookmarkEnd w:id="16"/>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一）进行爆破、取土等作业或者动用明火的；（二）倾倒、排放腐蚀性物质的；（三）放置易燃易爆物品或者种植深根植物的；（四）未与燃气经营者共同制定燃气设施保护方案，采取相应的安全保护措施，从事敷设管道、打桩、顶进、挖掘、钻探等可能影响燃气设施安全活动的。</w:t>
            </w:r>
            <w:r>
              <w:rPr>
                <w:rFonts w:hint="eastAsia" w:ascii="仿宋_GB2312" w:hAnsi="宋体" w:eastAsia="仿宋_GB2312" w:cs="宋体"/>
                <w:color w:val="000000" w:themeColor="text1"/>
                <w:kern w:val="0"/>
                <w:szCs w:val="21"/>
                <w14:textFill>
                  <w14:solidFill>
                    <w14:schemeClr w14:val="tx1"/>
                  </w14:solidFill>
                </w14:textFill>
              </w:rPr>
              <w:br w:type="textWrapping"/>
            </w:r>
            <w:r>
              <w:rPr>
                <w:rFonts w:hint="eastAsia" w:ascii="仿宋_GB2312" w:hAnsi="宋体" w:eastAsia="仿宋_GB2312" w:cs="宋体"/>
                <w:color w:val="000000" w:themeColor="text1"/>
                <w:kern w:val="0"/>
                <w:szCs w:val="21"/>
                <w14:textFill>
                  <w14:solidFill>
                    <w14:schemeClr w14:val="tx1"/>
                  </w14:solidFill>
                </w14:textFill>
              </w:rPr>
              <w:t xml:space="preserve">  违反本条例规定，在燃气设施保护范围内建设占压地下燃气管线的建筑物、构筑物或者其他设施的，依照有关城乡规划的法律、行政法规的规定进行处罚。</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责令停止违法行为，限期恢复原状或者采取其他补救措施，对单位处5万元罚款，对个人处5千元罚款。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13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责令停止违法行为，限期恢复原状或者采取其他补救措施，对单位处5万元以上8万元以下罚款，对个人处5千元以上3万元以下罚款。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（1）经责令停止违法行为后，继续实施该违法行为的；（2）曾因实施该违法行为被查处，再次实施该违法行为的；（3）造成严重危害后果的。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责令停止违法行为，限期恢复原状或者采取其他补救措施，对单位处8万元以上10万元以下罚款，对个人处3万元以上5万元以下罚款。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415</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侵占、毁损、擅自拆除、移动燃气设施或者擅自改动市政燃气设施</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《城镇燃气管理条例》第三十六条、第三十八条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bookmarkStart w:id="17" w:name="51"/>
            <w:r>
              <w:rPr>
                <w:rFonts w:hint="eastAsia" w:ascii="仿宋_GB2312" w:hAnsi="宋体" w:eastAsia="仿宋_GB2312" w:cs="宋体"/>
                <w:color w:val="000000" w:themeColor="text1"/>
                <w:kern w:val="0"/>
                <w:szCs w:val="21"/>
                <w14:textFill>
                  <w14:solidFill>
                    <w14:schemeClr w14:val="tx1"/>
                  </w14:solidFill>
                </w14:textFill>
              </w:rPr>
              <w:t>《城镇燃气管理条例》第五十一条第一款</w:t>
            </w:r>
            <w:bookmarkEnd w:id="17"/>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责令限期改正，恢复原状或者采取其他补救措施，对单位处5万元罚款，对个人处5千元罚款。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责令限期改正，恢复原状或者采取其他补救措施，对单位处5万元以上8万元以下罚款，对个人处5千元以上3万元以下罚款。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（1）经责令停止违法行为后，继续实施违法行为的；（2）曾因实施该违法行为被查处，再次实施该违法行为的；（3）造成安全事故的；（4）造成严重危害后果的。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责令限期改正，恢复原状或者采取其他补救措施，对单位处8万元以上10万元以下罚款，对个人处3万元以上5万元以下罚款。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416</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毁损、覆盖、涂改、擅自拆除或者移动燃气设施安全警示标志的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《城镇燃气管理条例》第三十六条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ind w:left="210" w:hanging="210" w:hanging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《城镇燃气管理条例》第五十一条第二款</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违反本条例规定，毁损、覆盖、涂改、擅自拆除或者移动燃气设施安全警示标志的，由燃气管理部门责令限期改正，恢复原状，可以处5000元以下罚款。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责令限期改正，恢复原状，可以处1千元以下罚款。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责令限期改正，恢复原状，可以处1千元以上3千元以下罚款。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2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（1）经责令停止违法行为后，继续实施该违法行为的；（2）曾因实施该违法行为被查处，再次实施该违法行为的；（3）造成安全事故的；（4）造成严重危害后果的。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责令限期改正，恢复原状，可以处3千元以上5千元以下罚款。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417</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建设工程施工范围内有地下燃气管线等重要燃气设施，建设单位未会同施工单位与管道燃气经营者共同制定燃气设施保护方案，或者建设单位、施工单位未采取相应的安全保护措施的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《城镇燃气管理条例》第三十七条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b/>
                <w:bCs/>
                <w:smallCaps/>
                <w:color w:val="000000" w:themeColor="text1"/>
                <w:szCs w:val="21"/>
                <w14:textFill>
                  <w14:solidFill>
                    <w14:schemeClr w14:val="tx1"/>
                  </w14:solidFill>
                </w14:textFill>
              </w:rPr>
            </w:pPr>
            <w:bookmarkStart w:id="18" w:name="52"/>
            <w:r>
              <w:rPr>
                <w:rFonts w:hint="eastAsia" w:ascii="仿宋_GB2312" w:hAnsi="宋体" w:eastAsia="仿宋_GB2312" w:cs="宋体"/>
                <w:color w:val="000000" w:themeColor="text1"/>
                <w:kern w:val="0"/>
                <w:szCs w:val="21"/>
                <w14:textFill>
                  <w14:solidFill>
                    <w14:schemeClr w14:val="tx1"/>
                  </w14:solidFill>
                </w14:textFill>
              </w:rPr>
              <w:t>《城镇燃气管理条例》第五十二条</w:t>
            </w:r>
            <w:bookmarkEnd w:id="18"/>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418</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在管道燃气供气规划区域内，新建瓶组站、小区气化站的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《安徽省城镇燃气管理条例》第十一条第二款</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《安徽省城镇燃气管理条例》第四十九条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违反本条例第十一条第二款规定，在管道燃气供气规划区域内，新建瓶组站、小区气化站的，由县级以上人民政府城市管理部门责令停止建设、限期拆除，对建设单位处十万元以上二十万元以下罚款。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责令停止建设、限期拆除，对建设单位处10万元罚款。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strike/>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责令停止建设、限期拆除，对建设单位处15万元罚款。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5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strike/>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责令停止建设、限期拆除，对建设单位处20万元罚款。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54"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419</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燃气经营企业销售未经许可的充装单位充装的瓶装燃气或者销售充装单位擅自为非自有气瓶充装的瓶装燃气的</w:t>
            </w:r>
          </w:p>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《安徽省城镇燃气管理条例》第三十条第八项；《城镇燃气管理条例》第十八条第八项</w:t>
            </w:r>
          </w:p>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《安徽省城镇燃气管理条例》第五十一条第三款</w:t>
            </w:r>
          </w:p>
          <w:p>
            <w:pPr>
              <w:pStyle w:val="11"/>
              <w:shd w:val="clear" w:color="auto" w:fill="FFFFFF"/>
              <w:spacing w:before="0" w:beforeAutospacing="0" w:after="0" w:afterAutospacing="0" w:line="240" w:lineRule="auto"/>
              <w:ind w:firstLine="210" w:firstLineChars="100"/>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违反本条例第三十条第八项规定，燃气经营企业销售未经许可的充装单位充装的瓶装燃气或者销售充装单位擅自为非自有气瓶充装的瓶装燃气的，由城市管理部门责令改正，可以处二千元以上一万元以下罚款。</w:t>
            </w:r>
          </w:p>
          <w:p>
            <w:pPr>
              <w:pStyle w:val="11"/>
              <w:shd w:val="clear" w:color="auto" w:fill="FFFFFF"/>
              <w:spacing w:before="0" w:beforeAutospacing="0" w:after="0" w:afterAutospacing="0" w:line="240" w:lineRule="auto"/>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《城镇燃气管理条例》第四十七条</w:t>
            </w:r>
          </w:p>
          <w:p>
            <w:pPr>
              <w:pStyle w:val="11"/>
              <w:shd w:val="clear" w:color="auto" w:fill="FFFFFF"/>
              <w:spacing w:before="0" w:beforeAutospacing="0" w:after="0" w:afterAutospacing="0" w:line="240" w:lineRule="auto"/>
              <w:ind w:firstLine="210" w:firstLineChars="100"/>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违反本条例规定，擅自为非自有气瓶充装燃气或者销售未经许可的充装单位充装的瓶装燃气的，依照国家有关气瓶安全监察的规定进行处罚。</w:t>
            </w:r>
          </w:p>
          <w:p>
            <w:pPr>
              <w:pStyle w:val="11"/>
              <w:shd w:val="clear" w:color="auto" w:fill="FFFFFF"/>
              <w:spacing w:before="0" w:beforeAutospacing="0" w:after="0" w:afterAutospacing="0" w:line="240" w:lineRule="auto"/>
              <w:ind w:firstLine="210" w:firstLineChars="100"/>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违反本条例规定，销售充装单位擅自为非自有气瓶充装的瓶装燃气的，由燃气管理部门责令改正，可以处1万元以下罚款。 违反本条例规定，冒用其他企业名称或者标识从事燃气经营、服务活动，依照有关反不正当竞争的法律规定进行处罚。</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责令改正，可处以2千元罚款。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3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责令改正，可处以2</w:t>
            </w:r>
            <w:r>
              <w:rPr>
                <w:rFonts w:hint="eastAsia" w:ascii="仿宋_GB2312" w:hAnsi="宋体" w:eastAsia="仿宋_GB2312" w:cs="宋体"/>
                <w:color w:val="000000" w:themeColor="text1"/>
                <w:kern w:val="0"/>
                <w:szCs w:val="21"/>
                <w14:textFill>
                  <w14:solidFill>
                    <w14:schemeClr w14:val="tx1"/>
                  </w14:solidFill>
                </w14:textFill>
              </w:rPr>
              <w:t>千元以上</w:t>
            </w:r>
            <w:r>
              <w:rPr>
                <w:rFonts w:hint="eastAsia" w:ascii="仿宋_GB2312" w:hAnsi="宋体" w:eastAsia="仿宋_GB2312" w:cs="宋体"/>
                <w:color w:val="000000" w:themeColor="text1"/>
                <w:szCs w:val="21"/>
                <w14:textFill>
                  <w14:solidFill>
                    <w14:schemeClr w14:val="tx1"/>
                  </w14:solidFill>
                </w14:textFill>
              </w:rPr>
              <w:t>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（1）经责令停止违法行为后，继续实施该违法行为的；（2）曾因实施该违法行为被查处，再次实施该违法行为的；（3）造成严重危害后果的。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420</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未实行瓶装燃气配送经营的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《安徽省城镇燃气管理条例》第四十五条第二款</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《安徽省城镇燃气管理条例》第五十二条第一款</w:t>
            </w:r>
          </w:p>
          <w:p>
            <w:pPr>
              <w:pStyle w:val="11"/>
              <w:spacing w:before="0" w:beforeAutospacing="0" w:after="0" w:afterAutospacing="0" w:line="240" w:lineRule="auto"/>
              <w:ind w:firstLine="315" w:firstLineChars="150"/>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违反本条例第四十五条第二款规定，未实行瓶装燃气配送经营的，由县级以上人民政府城市管理部门责令限期改正；逾期不改正的，处一万元以上五万元以下罚款。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责令限期改正；逾期不改正的，处1万元罚款。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责令限期改正；逾期不改正的，处1万元以上3万元以下罚款。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（1）曾因实施该违法行为被查处，再次实施该违法行为的；（2）造成严重危害后果的。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责令限期改正；逾期不改正的，处3万元以上5万元以下罚款。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421</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瓶装燃气配送车辆未设有明显的燃气警示标志的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《安徽省城镇燃气管理条例》第四十五条第二款</w:t>
            </w:r>
          </w:p>
        </w:tc>
        <w:tc>
          <w:tcPr>
            <w:tcW w:w="4255" w:type="dxa"/>
            <w:gridSpan w:val="2"/>
            <w:vMerge w:val="restart"/>
            <w:tcBorders>
              <w:tl2br w:val="nil"/>
              <w:tr2bl w:val="nil"/>
            </w:tcBorders>
            <w:vAlign w:val="center"/>
          </w:tcPr>
          <w:p>
            <w:pPr>
              <w:pStyle w:val="11"/>
              <w:spacing w:before="0" w:beforeAutospacing="0" w:after="0" w:afterAutospacing="0" w:line="240" w:lineRule="auto"/>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《安徽省城镇燃气管理条例》第五十二条第二款</w:t>
            </w:r>
          </w:p>
          <w:p>
            <w:pPr>
              <w:pStyle w:val="11"/>
              <w:spacing w:before="0" w:beforeAutospacing="0" w:after="0" w:afterAutospacing="0" w:line="240" w:lineRule="auto"/>
              <w:ind w:firstLine="210" w:firstLineChars="100"/>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违反本条例第四十五条第二款规定，配送车辆未设有明显的燃气警示标志的，由县级以上人民政府城市管理部门责令限期改正；逾期不改正的，处一千元以上五千元以下罚款。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w:t>
            </w:r>
            <w:r>
              <w:rPr>
                <w:rFonts w:hint="eastAsia" w:ascii="仿宋_GB2312" w:hAnsi="宋体" w:eastAsia="仿宋_GB2312" w:cs="宋体"/>
                <w:color w:val="000000" w:themeColor="text1"/>
                <w:szCs w:val="21"/>
                <w14:textFill>
                  <w14:solidFill>
                    <w14:schemeClr w14:val="tx1"/>
                  </w14:solidFill>
                </w14:textFill>
              </w:rPr>
              <w:t>限期</w:t>
            </w:r>
            <w:r>
              <w:rPr>
                <w:rFonts w:hint="eastAsia" w:ascii="仿宋_GB2312" w:hAnsi="宋体" w:eastAsia="仿宋_GB2312" w:cs="宋体"/>
                <w:color w:val="000000" w:themeColor="text1"/>
                <w:kern w:val="0"/>
                <w:szCs w:val="21"/>
                <w14:textFill>
                  <w14:solidFill>
                    <w14:schemeClr w14:val="tx1"/>
                  </w14:solidFill>
                </w14:textFill>
              </w:rPr>
              <w:t>改正；逾期不改正的，处以1千元罚款。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责令限期改正；逾期不改正的，处以1千元以上3千元以下罚款。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（1）曾因实施该违法行为被查处，再次实施该违法行为的；（2）造成严重危害后果的。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责令限期改正；逾期不改正的，处以3千元以上5千元以下罚款。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417"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422</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城市桥梁产权人或者委托管理人未按照规定编制城市桥梁养护维修的中长期规划和年度计划，或者未经批准即实施的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《城市桥梁检测和养护维修管理办法》第二十五条第一项</w:t>
            </w:r>
          </w:p>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2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5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（1）整改不积极的；（2）曾因实施该违法行为被查处，再次实施该违法行为的；（3）造成严重危害后果的。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02"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423</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城市桥梁产权人或者委托管理人未按照规定设置相应的标志，并保持其完好、清晰的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《城市桥梁检测和养护维修管理办法》第十三条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《城市桥梁检测和养护维修管理办法》第二十五条第二项</w:t>
            </w:r>
          </w:p>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4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（1）整改不积极的；（2）曾因实施该违法行为被查处，再次实施该违法行为的；（3）造成严重危害后果的。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44"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424</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城市桥梁产权人或者委托管理人未按照规定委托具有相应资格的机构对城市桥梁进行检测评估的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《城市桥梁检测和养护维修管理办法》第二十一条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《城市桥梁检测和养护维修管理办法》第二十五条第三项</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41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（1）整改不积极的；（2）曾因实施该违法行为被查处，再次实施该违法行为的；（3）造成严重危害后果的。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60"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425</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城市桥梁产权人或者委托管理人未按照规定制定城市桥梁的安全抢险预备方案的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《城市桥梁检测和养护维修管理办法》第十九条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《城市桥梁检测和养护维修管理办法》第二十五条第四项</w:t>
            </w:r>
          </w:p>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4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（1）整改不积极的；（2）曾因实施该违法行为被查处，再次实施该违法行为的；（3）造成严重危害后果的。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30"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426</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城市桥梁产权人或者委托管理人未按照规定对城市桥梁进行养护维修的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《城市桥梁检测和养护维修管理办法》第十二条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《城市桥梁检测和养护维修管理办法》第二十五条第五项</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7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（1）整改不积极的；（2）曾因实施该违法行为被查处，再次实施该违法行为的；（3）造成严重危害后果的。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427</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单位或者个人擅自在城市桥梁上架设各类管线、设置广告等辅助物的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《城市桥梁检测和养护维修管理办法》第十七条、第十八条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《城市桥梁检测和养护维修管理办法》第二十六条</w:t>
            </w:r>
          </w:p>
          <w:p>
            <w:pPr>
              <w:widowControl/>
              <w:spacing w:line="240" w:lineRule="auto"/>
              <w:ind w:firstLine="210" w:firstLineChars="100"/>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单位或者个人擅自在城市桥梁上架设各类管线、设置广告等辅助物的，由城市人民政府市政工程设施行政主管部门责令限期改正，并可处2万元以下的罚款；造成损失的，依法承担赔偿责任。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jc w:val="left"/>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left"/>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jc w:val="left"/>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left"/>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（1）整改不积极的；（2）曾因实施该违法行为被查处，再次实施该违法行为的；（3）造成严重危害后果的。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428</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单位和个人擅自在城市桥梁施工控制范围内从事河道疏浚、挖掘、打桩、地下管道顶进、爆破等作业的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《城市桥梁检测和养护维修管理办法》第十四条第二款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《城市桥梁检测和养护维修管理办法》第二十七条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单位和个人擅自在城市桥梁施工控制范围内从事本办法第十四条第二款规定的活动的，由城市人民政府市政工程设施行政主管部门责令限期改正，并可处1万元以上3万元以下的罚款。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1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44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（1）整改不积极的；（2）曾因实施该违法行为被查处，再次实施该违法行为的；（3）造成严重危害后果的。</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429</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超限机动车辆、履带车、铁轮车等需经过城市桥梁的，在报公安交通管理部门审批前，未先经城市人民政府市政工程设施行政主管部门同意，并采取相应技术措施后通行的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《城市桥梁检测和养护维修管理办法》第十六条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《城市桥梁检测和养护维修管理办法》第二十八条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违反本办法第十六条、第二十三条规定，由城市人民政府市政工程设施行政主管部门责令限期改正，并可处1万元以上2万元以下的罚款；造成损失的，依法承担赔偿责任。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（1）整改不积极的；（2）曾因实施该违法行为被查处，再次实施该违法行为的；（3）造成严重危害后果的。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9"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430</w:t>
            </w:r>
          </w:p>
        </w:tc>
        <w:tc>
          <w:tcPr>
            <w:tcW w:w="1440"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经过检测评估，确定城市桥梁的承载能力下降，但尚未构成危桥的，城市桥梁产权人和委托管理人未及时设置警示标志，并立即采取加固等安全措施的</w:t>
            </w:r>
          </w:p>
        </w:tc>
        <w:tc>
          <w:tcPr>
            <w:tcW w:w="1115" w:type="dxa"/>
            <w:gridSpan w:val="3"/>
            <w:vMerge w:val="restart"/>
            <w:tcBorders>
              <w:tl2br w:val="nil"/>
              <w:tr2bl w:val="nil"/>
            </w:tcBorders>
            <w:vAlign w:val="center"/>
          </w:tcPr>
          <w:p>
            <w:pPr>
              <w:widowControl/>
              <w:spacing w:line="240" w:lineRule="auto"/>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《城市桥梁检测和养护维修管理办法》第二十三条</w:t>
            </w:r>
          </w:p>
        </w:tc>
        <w:tc>
          <w:tcPr>
            <w:tcW w:w="4255"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《城市桥梁检测和养护维修管理办法》第二十八条</w:t>
            </w:r>
          </w:p>
          <w:p>
            <w:pPr>
              <w:widowControl/>
              <w:spacing w:line="240" w:lineRule="auto"/>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违反本办法第十六条、第二十三条规定，由城市人民政府市政工程设施行政主管部门责令限期改正，并可处1万元以上2万元以下的罚款；造成损失的，依法承担赔偿责任。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（1）整改不积极的；（2）曾因实施该违法行为被查处，再次实施该违法行为的；（3）造成严重危害后果的。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60"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431</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建设单位未移交地下管线工程档案的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《城市地下管线工程档案管理办法》第十条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《城市地下管线工程档案管理办法》第十七条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建设单位违反本办法规定，未移交地下管线工程档案的，由建设主管部门责令改正，处1万元以上10万元以下的罚款；对单位直接负责的主管人员和其他直接责任人员，处单位罚款数额5%以上10%以下的罚款；因建设单位未移交地下管线工程档案，造成施工单位在施工中损坏地下管线的，建设单位依法承担相应的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城建档案管理机构依法要求建设单位工程竣工后移交地下管线工程档案的时间届满后30日内仍未移交的。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责令改正，处1万元以上3万元以下的罚款；对单位直接负责的主管人员和其他直接责任人员，处单位罚款数额5%的罚款。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城建档案管理机构依法要求建设单位工程竣工后移交地下管线工程档案的时间届满后30日以上60日以下未移交的。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责令改正，处3万元以上5万元以下的罚款；对单位直接负责的主管人员和其他直接责任人员，处单位罚款数额5%以上8%以下的罚款。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9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城建档案管理机构依法要求建设单位工程竣工后移交地下管线工程档案的时间届满后60日以上未移交的；（2）责令改正后仍不移交的；（3）曾因实施该违法行为被查处，再次实施该违法行为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责令改正，处5万元以上10万元以下的罚款；对单位直接负责的主管人员和其他直接责任人员，处单位罚款数额8%以上10%以下的罚款。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432</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地下管线专业管理单位未移交地下管线工程档案的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《城市地下管线工程档案管理办法》第十二条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《城市地下管线工程档案管理办法》第十八条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地下管线专业管理单位违反本办法规定，未移交地下管线工程档案的，由建设主管部门责令改正，处1万元以下的罚款；因地下管线专业管理单位未移交地下管线工程档案，造成施工单位在施工中损坏地下管线的，地下管线专业管理单位依法承担相应的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地下管线专业管理单位将更改、报废、漏测部分的地下管线工程档案修改补充到本单位的地下管线专业图上后，30日以内仍未依法将地下管线专业图及有关资料向城建档案管理机构移交的。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地下管线专业管理单位将更改、报废、漏测部分的地下管线工程档案修改补充到本单位的地下管线专业图上后，30日以上60日以下仍未依法将地下管线专业图及有关资料向城建档案管理机构移交的。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责令改正，处3千元以上6千元以下的罚款。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地下管线专业管理单位将更改、报废、漏测部分的地下管线工程档案修改补充到本单位的地下管线专业图上后60日以上仍未依法将地下管线专业图及有关资料向城建档案管理机构移交的；（2）责令改正后仍不移交的；（3）曾因实施该违法行为被查处，再次实施该违法行为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责令改正，处6千元以上1万元以下的罚款。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54"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433</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在城市景观照明中有过度照明等超能耗标准行为的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《城市照明管理规定》第十九条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《城市照明管理规定》第三十一条</w:t>
            </w:r>
          </w:p>
          <w:p>
            <w:pPr>
              <w:widowControl/>
              <w:spacing w:line="240" w:lineRule="auto"/>
              <w:ind w:firstLine="205" w:firstLineChars="98"/>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违反本规定，在城市景观照明中有过度照明等超能耗标准行为的，由城市照明主管部门责令限期改正；逾期未改正的，处以1000元以上3万元以下的罚款。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责令限期改正；逾期未改正的，处以1千元以上1万元以下的罚款。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责令限期改正；逾期未改正的，处以1万元以上2万元以下罚款。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（1）曾因实施该违法行为被查处，再次实施该违法行为的；（2）造成严重危害后果的。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责令限期改正；逾期未改正的，处以2万元以上3万元以下的罚款。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8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434</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在城市照明设施上刻划、涂污的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《城市照明管理规定》第二十八条第一项</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《城市照明管理规定》第三十二条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违反本规定，有第二十八条规定行为之一的，由城市照明主管部门责令限期改正，对个人处以200元以上1000元以下的罚款；对单位处以1000元以上3万元以下的罚款；造成损失的，依法赔偿损失。</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4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（1）逾期未改正的；（2）曾因实施该违法行为被查处，再次实施该违法行为的；（3）造成严重危害后果的。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435</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在城市照明设施安全距离内，擅自植树、挖坑取土或者设置其他物体，或者倾倒含酸、碱、盐等腐蚀物或者具有腐蚀性的废渣、废液的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《城市照明管理规定》第二十八条第二项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《城市照明管理规定》第三十二条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违反本规定，有第二十八条规定行为之一的，由城市照明主管部门责令限期改正，对个人处以200元以上1000元以下的罚款；对单位处以1000元以上3万元以下的罚款；造成损失的，依法赔偿损失。</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（1）逾期未改正的；（2）曾因实施该违法行为被查处，再次实施该违法行为的；（3）造成严重危害后果的。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436</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擅自在城市照明设施上张贴、悬挂、设置宣传品、广告的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《城市照明管理规定》第二十八条第三项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《城市照明管理规定》第三十二条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违反本规定，有第二十八条规定行为之一的，由城市照明主管部门责令限期改正，对个人处以200元以上1000元以下的罚款；对单位处以1000元以上3万元以下的罚款；造成损失的，依法赔偿损失。</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（1）逾期未改正的；（2）曾因实施该违法行为被查处，再次实施该违法行为的；（3）造成严重危害后果的。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437</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擅自在城市照明设施上架设线缆、安置其它设施或者接用电源的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《城市照明管理规定》第二十八条第四项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《城市照明管理规定》第三十二条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违反本规定，有第二十八条规定行为之一的，由城市照明主管部门责令限期改正，对个人处以200元以上1000元以下的罚款；对单位处以1000元以上3万元以下的罚款；造成损失的，依法赔偿损失。</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6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6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（1）逾期未改正的；（2）曾因实施该违法行为被查处，再次实施该违法行为的；（3）造成严重危害后果的。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438</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擅自迁移、拆除、利用城市照明设施的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《城市照明管理规定》第二十八条第五项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《城市照明管理规定》第三十二条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违反本规定，有第二十八条规定行为之一的，由城市照明主管部门责令限期改正，对个人处以200元以上1000元以下的罚款；对单位处以1000元以上3万元以下的罚款；造成损失的，依法赔偿损失。</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（1）逾期未改正的；（2）曾因实施该违法行为被查处，再次实施该违法行为的；（3）造成严重危害后果的。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439</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其他可能影响城市照明设施正常运行的行为的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《城市照明管理规定》第二十八条第六项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《城市照明管理规定》第三十二条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违反本规定，有第二十八条规定行为之一的，由城市照明主管部门责令限期改正，对个人处以200元以上1000元以下的罚款；对单位处以1000元以上3万元以下的罚款；造成损失的，依法赔偿损失。</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（1）逾期未改正的；（2）曾因实施该违法行为被查处，再次实施该违法行为的；（3）造成严重危害后果的。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440</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市政设施规划、设计、施工、监理的单位不具备建设行政主管部门颁发的市政资质或未按照资质等级承担相应任务的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《安徽省市政设施管理条例》第十二条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《安徽省市政设施管理条例》第三十七条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十二条、第二十五条第一款、第三十三条、第三十四条、第三十五条规定的，由建设行政主管部门责令停止设计、施工、限期改正，可并处1万元以上3万元以下的罚款；情节严重，有资质证书的，由发证机关吊销其资质证书。</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责令停止设计、施工、限期改正，可并处1万元的罚款。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责令停止设计、施工、限期改正，可并处1万元以上2万元以下的罚款。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责令停止设计、施工、限期改正，可并处2万元以上3万元以下的罚款;有资质证书的，由发证机关吊销其资质证书。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13"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441</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未经建设行政主管部门和公安交通管理部门批准，占用或者挖掘城市道路的</w:t>
            </w:r>
          </w:p>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《安徽省市政设施管理条例》第二十五条第一款</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《安徽省市政设施管理条例》第三十七条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十二条、第二十五条第一款、第三十三条、第三十四条、第三十五条规定的，由建设行政主管部门责令停止设计、施工、限期改正，可并处1万元以上3万元以下的罚款；情节严重，有资质证书的，由发证机关吊销其资质证书。</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责令停止设计、施工、限期改正，可并处1万元的罚款。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51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责令停止设计、施工、限期改正，可并处1万元以上2万元以下的罚款。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51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责令停止设计、施工、限期改正，可并处2万元以上3万元以下的罚款;有资质证书的，由发证机关吊销其资质证书。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919"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442</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擅自填埋具有调蓄功能的城市河塘的；因工程建设或者其他需要，临时占压、挖掘城市排水设施未报市、县（市）建设行政主管部门批准的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《安徽省市政设施管理条例》第三十三条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《安徽省市政设施管理条例》第三十七条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十二条、第二十五条第一款、第三十三条、第三十四条、第三十五条规定的，由建设行政主管部门责令停止设计、施工、限期改正，可并处1万元以上3万元以下的罚款；情节严重，有资质证书的，由发证机关吊销其资质证书。</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责令停止设计、施工、限期改正，可并处1万元的罚款。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91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责令停止设计、施工、限期改正，可并处1万元以上2万元以下的罚款。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91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责令停止设计、施工、限期改正，可并处2万元以上3万元以下的罚款;有资质证书的，由发证机关吊销其资质证书。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200"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443</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城市防洪设施保护范围内擅自设置建筑物、构筑物等损害城市防洪设施的；因建设需要在城市防洪设施保护范围内立杆架线、埋设管道以及进行其他影响城市防洪设施功能的行为未经市、县（市）建设行政主管部门批准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《安徽省市政设施管理条例》第三十四条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《安徽省市政设施管理条例》第三十七条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十二条、第二十五条第一款、第三十三条、第三十四条、第三十五条规定的，由建设行政主管部门责令停止设计、施工、限期改正，可并处1万元以上3万元以下的罚款；情节严重，有资质证书的，由发证机关吊销其资质证书。</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责令停止设计、施工、限期改正，可并处1万元的罚款。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00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责令停止设计、施工、限期改正，可并处1万元以上2万元以下的罚款。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32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责令停止设计、施工、限期改正，可并处2万元以上3万元以下的罚款;有资质证书的，由发证机关吊销其资质证书。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923"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444</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擅自占用、拆除、改动、迁移城市照明设施的；因特殊原因需要临时占用或者拆除、改动、迁移城市照明设施的未经市、县（市）建设行政主管部门批准的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《安徽省市政设施管理条例》第三十五条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《安徽省市政设施管理条例》第三十七条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十二条、第二十五条第一款、第三十三条、第三十四条、第三十五条规定的，由建设行政主管部门责令停止设计、施工、限期改正，可并处1万元以上3万元以下的罚款；情节严重，有资质证书的，由发证机关吊销其资质证书。</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责令停止设计、施工、限期改正，可并处1万元的罚款。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92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责令停止设计、施工、限期改正，可并处1万元以上2万元以下的罚款。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92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责令停止设计、施工、限期改正，可并处2万元以上3万元以下的罚款;有资质证书的，由发证机关吊销其资质证书。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445</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擅自在桥梁、道路、路灯上敷设管线、设置广告牌和其它悬挂物的。</w:t>
            </w:r>
          </w:p>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《安徽省市政设施管理条例》第二十八条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《安徽省市政设施管理条例》第三十八条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违反本条例第二十八条、第三十条第二款、第三十一条规定的，由建设行政主管部门责令停止违法行为，限期改正，可并处5千元以上1万元以下的罚款。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责令停止违法行为，限期改正，可并处5千元的罚款。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责令停止违法行为，限期改正，可并处5千元以上8千元以下的罚款。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责令停止违法行为，限期改正，可并处8千元以上1万元的罚款。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15"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446</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排入城市排水设施的水质未达到国家《污水排入城市下水道水质标准》</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《安徽省市政设施管理条例》第三十条第二款</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《安徽省市政设施管理条例》第三十八条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违反本条例第二十八条、第三十条第二款、第三十一条规定的，由建设行政主管部门责令停止违法行为，限期改正，可并处5千元以上1万元以下的罚款。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责令停止违法行为，限期改正，可并处5千元的罚款。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1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责令停止违法行为，限期改正，可并处5千元以上8千元以下的罚款。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1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责令停止违法行为，限期改正，可并处8千元以上1万元的罚款。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23"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447</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使用城市排水设施的用户，未按规定到建设行政主管部门申领排水许可证的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《安徽省市政设施管理条例》第三十一条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《安徽省市政设施管理条例》第三十八条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违反本条例第二十八条、第三十条第二款、第三十一条规定的，由建设行政主管部门责令停止违法行为，限期改正，可并处5千元以上1万元以下的罚款。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责令停止违法行为，限期改正，可并处5千元的罚款。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4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责令停止违法行为，限期改正，可并处5千元以上8千元以下的罚款。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1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责令停止违法行为，限期改正，可并处8千元以上1万元的罚款。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19"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448</w:t>
            </w:r>
          </w:p>
        </w:tc>
        <w:tc>
          <w:tcPr>
            <w:tcW w:w="1440" w:type="dxa"/>
            <w:gridSpan w:val="2"/>
            <w:vMerge w:val="restart"/>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将建筑垃圾混入生活垃圾的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《城市建筑垃圾管理规定》第九条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《城市建筑垃圾管理规定》第二十条</w:t>
            </w:r>
          </w:p>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任何单位和个人有下列情形之一的，由城市人民政府市容环境卫生主管部门责令限期改正，给予警告，处以罚款：（一）将建筑垃圾混入生活垃圾的；（二）将危险废物混入建筑垃圾的；（三）擅自设立弃置场受纳建筑垃圾的；</w:t>
            </w:r>
          </w:p>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混入1立方米以下的。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责令限期改正，给予警告，对单位处1000元以下罚款，对个人处50元以下罚款。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19" w:hRule="atLeast"/>
          <w:jc w:val="center"/>
        </w:trPr>
        <w:tc>
          <w:tcPr>
            <w:tcW w:w="566" w:type="dxa"/>
            <w:gridSpan w:val="2"/>
            <w:vMerge w:val="continue"/>
            <w:tcBorders>
              <w:tl2br w:val="nil"/>
              <w:tr2bl w:val="nil"/>
            </w:tcBorders>
            <w:tcMar>
              <w:top w:w="15" w:type="dxa"/>
              <w:left w:w="15" w:type="dxa"/>
              <w:bottom w:w="15" w:type="dxa"/>
              <w:right w:w="15" w:type="dxa"/>
            </w:tcMar>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混入2立方米以上5立方米以下的。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责令限期改正，给予警告，对单位处1000元以上2000元以下罚款，对个人处50元以上100元下罚款。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19" w:hRule="atLeast"/>
          <w:jc w:val="center"/>
        </w:trPr>
        <w:tc>
          <w:tcPr>
            <w:tcW w:w="566" w:type="dxa"/>
            <w:gridSpan w:val="2"/>
            <w:vMerge w:val="continue"/>
            <w:tcBorders>
              <w:tl2br w:val="nil"/>
              <w:tr2bl w:val="nil"/>
            </w:tcBorders>
            <w:tcMar>
              <w:top w:w="15" w:type="dxa"/>
              <w:left w:w="15" w:type="dxa"/>
              <w:bottom w:w="15" w:type="dxa"/>
              <w:right w:w="15" w:type="dxa"/>
            </w:tcMar>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混入5立方米以上的。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责令限期改正，给予警告，对单位处2000元以上3000元以下罚款，对个人处100元以上200元下罚款。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2"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449</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将危险废物混入建筑垃圾的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《城市建筑垃圾管理规定》第九条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《城市建筑垃圾管理规定》第二十条</w:t>
            </w:r>
          </w:p>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任何单位和个人有下列情形之一的，由城市人民政府市容环境卫生主管部门责令限期改正，给予警告，处以罚款：（一）将建筑垃圾混入生活垃圾的；（二）将危险废物混入建筑垃圾的；（三）擅自设立弃置场受纳建筑垃圾的；</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责令限期改正，给予警告，对单位处1000元以下罚款，对个人处50元以下罚款。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责令限期改正，给予警告，对单位处1000元以上2000元以下罚款，对个人处50元以上100元下罚款。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（1）经责令整改后，不采取整改措施的；（2）曾因实施该违法行为被查处，再次实施该违法行为的；（3）严重影响城市市容和环境卫生，造成严重危害后果或重大社会影响的。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责令限期改正，给予警告，对单位处2000元以上3000元以下罚款，对个人处100元以上200元下罚款。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2"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450</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擅自设立弃置场受纳建筑垃圾的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《城市建筑垃圾管理规定》第九条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《城市建筑垃圾管理规定》第二十条</w:t>
            </w:r>
          </w:p>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任何单位和个人有下列情形之一的，由城市人民政府市容环境卫生主管部门责令限期改正，给予警告，处以罚款：（一）将建筑垃圾混入生活垃圾的；（二）将危险废物混入建筑垃圾的；（三）擅自设立弃置场受纳建筑垃圾的；</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受纳50立方米以下的。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责令限期改正，给予警告，对单位处5000元罚款，对个人处1000元以下罚款。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受纳50立方米以上100立方米以下的。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责令限期改正，给予警告，对单位处5000元以上7500元以下罚款，对个人处1000元以上2000元以下罚款。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受纳100立方米以上的。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责令限期改正，给予警告，对单位处7500元以上1万元以下罚款，对个人处2000元以上3000元以下罚款。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451</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建筑垃圾储运消纳场受纳工业垃圾、生活垃圾和有毒有害垃圾的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《城市建筑垃圾管理规定》第十条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《城市建筑垃圾管理规定》第二十一条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建筑垃圾储运消纳场受纳工业垃圾、生活垃圾和有毒有害垃圾的，由城市人民政府市容环境卫生主管部门责令限期改正，给予警告，处5000元以上1万元以下罚款。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责令限期改正，给予警告，处5千元以上7500元以下罚款。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6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（1）经责令整改后，不采取整改措施的；（2）曾因实施该违法行为被查处，再次实施该违法行为的；（3）严重影响城市市容和环境卫生，造成严重危害后果或重大社会影响的。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责令限期改正，给予警告，处7500元以上1万元以下罚款。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452</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施工单位将建筑垃圾交给个人或者未经核准从事建筑垃圾运输的单位处置的</w:t>
            </w:r>
          </w:p>
        </w:tc>
        <w:tc>
          <w:tcPr>
            <w:tcW w:w="1115" w:type="dxa"/>
            <w:gridSpan w:val="3"/>
            <w:vMerge w:val="restart"/>
            <w:tcBorders>
              <w:tl2br w:val="nil"/>
              <w:tr2bl w:val="nil"/>
            </w:tcBorders>
            <w:vAlign w:val="center"/>
          </w:tcPr>
          <w:p>
            <w:pPr>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《城市建筑垃圾管理规定》第十三条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《城市建筑垃圾管理规定》第二十二条</w:t>
            </w:r>
          </w:p>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施工单位未及时清运工程施工过程中产生的建筑垃圾，造成环境污染的，由城市人民政府市容环境卫生主管部门责令限期改正，给予警告，处5000元以上5万元以下罚款。</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施工单位将建筑垃圾交给个人或者未经核准从事建筑垃圾运输的单位处置的，由城市人民政府市容环境卫生主管部门责令限期改正，给予警告，处1万元以上10万元以下罚款。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处置建筑垃圾50立方米以下的。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7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处置建筑垃圾50立方米以上100立方米以下的。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3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处置建筑垃圾100立方米以上的；（2）经责令整改后，不采取整改措施的；（3）曾因实施该违法行为被查处，再次实施该违法行为的；（4）严重影响城市市容和环境卫生，造成严重危害后果或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08"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453</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处置建筑垃圾的单位在运输建筑垃圾过程中沿途丢弃、遗撒建筑垃圾的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《城市建筑垃圾管理规定》第十四条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《城市建筑垃圾管理规定》第二十三条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处置建筑垃圾的单位在运输建筑垃圾过程中沿途丢弃、遗撒建筑垃圾的，由城市人民政府市容环境卫生主管部门责令限期改正，给予警告，处5000元以上5万元以下罚款。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丢弃、遗撒建筑垃圾污染路面10平方米以下的。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2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丢弃、遗撒建筑垃圾污染路面10平方米以上50平方米以下的。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90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丢弃、遗撒建筑垃圾污染路面50平方米以上的；（2）责令限期改正后，不及时改正的；（3）造成安全事故的；（4）曾因实施该违法行为被查处，再次实施该违法行为的；（5）严重影响城市市容和环境卫生，造成严重危害后果或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454</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涂改、倒卖、出租、出借或者以其他形式非法转让城市建筑垃圾处置核准文件的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《城市建筑垃圾管理规定》第八条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《城市建筑垃圾管理规定》第二十四条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涂改、倒卖、出租、出借或者以其他形式非法转让城市建筑垃圾处置核准文件的，由城市人民政府市容环境卫生主管部门责令限期改正，给予警告，处5000元以上2万元以下罚款。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97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（1）责令限期改正后，不及时改正的；（2）造成安全事故的；（3）曾因实施该违法行为被查处，再次实施该违法行为的；（4）造成重大社会影响的。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00"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455</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有下列情形之一的：（1）未经核准擅自处置建筑垃圾的；（2）处置超出核准范围的建筑垃圾的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《城市建筑垃圾管理规定》第七条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《城市建筑垃圾管理规定》第二十五条</w:t>
            </w:r>
          </w:p>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违反本规定，有下列情形之一的，由城市人民政府市容环境卫生主管部门责令限期改正，给予警告，对施工单位处 1万元以上10万元以下罚款，对建设单位、运输建筑垃圾的单位处5000元以上3万元以下罚款：（一）未经核准擅自处置建筑垃圾的；（二）处置超出核准范围的建筑垃圾的。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未经核准擅自处置建筑垃圾20立方米以下的；处置超出核准范围的建筑垃圾20立方米以下的。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责令限期改正，给予警告，对施工单位处 1万元以上3万元以下罚款，对建设单位、运输建筑垃圾的单位处5千元以上1万元以下罚款。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7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未经核准擅自处置建筑垃圾20-50立方米的；处置超出核准范围的建筑垃圾20-50立方米的。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责令限期改正，给予警告，对施工单位处3万元以上 5万元以下罚款，对建设单位、运输建筑垃圾的单位处1万元以上2万元以下罚款。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（1）未经核准擅自处置建筑垃圾50立方米以上的，或处置超出核准范围的建筑垃圾50立方米以上的；（2）造成严重危害后果或影响的。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责令限期改正，给予警告，对施工单位处5万元以上10万元以下罚款，对建设单位、运输建筑垃圾的单位处2万元以上3万元以下罚款。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456</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任何单位和个人随意倾倒、抛撒或者堆放建筑垃圾的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《城市建筑垃圾管理规定》第十五条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《城市建筑垃圾管理规定》第二十六条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任何单位和个人随意倾倒、抛撒或者堆放建筑垃圾的，由城市人民政府市容环境卫生主管部门责令限期改正，给予警告，并对单位处5000元以上5万元以下罚款，对个人处200元以下罚款。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随意倾倒、抛撒或者堆放建筑垃圾20立方米以下的。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责令限期改正，给予警告，并对单位处5千元以上1万元以下罚款，对个人处50元以下罚款。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4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随意倾倒、抛撒或者堆放建筑垃圾20立方米以上50立方米以下的。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责令限期改正，给予警告，并对单位处1万元以上3万元以下罚款，对个人处50元以上100元以下罚款。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88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（1）随意倾倒、抛撒或者堆放建筑垃圾50立方米以上的；（2）责令限期改正后，不及时改正的；（3）造成安全事故的，造成重大社会影响的；（4）曾因实施该违法行为被查处，再次实施该违法行为的。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责令限期改正，给予警告，并对单位处3万元以上5万元以下罚款，对个人处100元以上200元以下罚款。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457</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单位和个人未按规定缴纳城市生活垃圾处理费的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《城市生活垃圾管理办法》第三十八条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和个人未按规定缴纳城市生活垃圾处理费的，由直辖市、市、县人民政府建设（环境卫生）主管部门责令限期改正，逾期不改正的，对单位可处以应交城市生活垃圾处理费3倍以下且不超过3万元的罚款，对个人可处以应交城市生活垃圾处理费3倍以下且不超过1000元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责令限期改正，逾期不改正的，对单位可处以应交城市生活垃圾处理费1倍以下且不超过1万元的罚款，对个人可处以应交城市生活垃圾处理费1倍以下且不超过300元的罚款。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责令限期改正，逾期不改正的，对单位可处以应交城市生活垃圾处理费1倍以上2倍以下且不超过2万元的罚款，对个人可处以应交城市生活垃圾处理费1倍以上2倍以下且不超过500元的罚款。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（1）曾因实施该违法行为被查处，再次实施该违法行为的；（2）造成严重危害后果的。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责令限期改正，逾期不改正的，对单位处以应交城市生活垃圾处理费2倍以上3倍以下且不超过3万元的罚款，对个人处以应交城市生活垃圾处理费2倍以上3倍以下且不超过1千元的罚款。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78"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458</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未按照城市生活垃圾治理规划和环境卫生设施标准配套建设城市生活垃圾收集设施的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《城市生活垃圾管理办法》第十条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《城市生活垃圾管理办法》第三十九条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违反本办法第十条规定，未按照城市生活垃圾治理规划和环境卫生设施标准配套建设城市生活垃圾收集设施的，由直辖市、市、县人民政府建设（环境卫生）主管部门责令限期改正，并可处以1万元以下的罚款。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4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责令限期改正，并可处以3千元以上7千元以下罚款。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4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（1）经责令限期改正后，不及时改正的；（2）曾因实施该违法行为被查处，再次实施该违法行为的；（3）造成严重危害后果的。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4"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459</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城市生活垃圾处置设施未经验收或者验收不合格投入使用的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《城市生活垃圾管理办法》第十二条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违反本办法第十二条规定， 城市生活垃圾处置设施未经验收或者验收不合格投入使用的，由直辖市、市、县人民政府建设主管部门责令改正，处工程合同价款2%以上4%以下的罚款；造成损失的，应当承担赔偿责任</w:t>
            </w:r>
            <w:r>
              <w:rPr>
                <w:rFonts w:hint="eastAsia" w:ascii="仿宋_GB2312" w:hAnsi="宋体" w:eastAsia="仿宋_GB2312" w:cs="宋体"/>
                <w:color w:val="000000" w:themeColor="text1"/>
                <w:szCs w:val="21"/>
                <w:shd w:val="clear" w:color="auto" w:fill="FFFFFF"/>
                <w14:textFill>
                  <w14:solidFill>
                    <w14:schemeClr w14:val="tx1"/>
                  </w14:solidFill>
                </w14:textFill>
              </w:rPr>
              <w:t>。</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责令改正，处工程合同价款2%的罚款。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9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责令改正，处工程合同价款2%以上3%以下的罚款。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（1）经责令整改后，不采取整改措施的；（2）曾因实施该违法行为被查处，再次实施该违法行为的；（3）造成重大社会影响或造成严重危害后果的。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责令改正，处工程合同价款3%以上4%以下的罚款。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460</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从事生活垃圾经营性清扫、收集、运输的企业未按照环境卫生作业标准和作业规范，在规定的时间内及时清扫、收运城市生活垃圾的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《城市生活垃圾管理办法》第二十条第一项</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0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461</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未将收集的城市生活垃圾运到直辖市、市、县人民政府建设（环境卫生）主管部门认可的处理场所的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《城市生活垃圾管理办法》第二十条第二项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462</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清扫、收运城市生活垃圾后，未对生活垃圾收集设施及时保洁、复位，清理作业场地，保持生活垃圾收集设施和周边环境干净整洁的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《城市生活垃圾管理办法》第二十条第三项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3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5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32"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463</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用于收集、运输城市生活垃圾的车辆、船舶未做到密闭、完好和整洁的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《城市生活垃圾管理办法》第二十条第四项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责令限期改正，给予警告，并可处以5千元以上1万元以下的罚款。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1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责令限期改正，给予警告，并可处以1万元以上2万元以下罚款。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98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责令限期改正，给予警告，并可处以2万元以上3万元以下罚款。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12"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464</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城市生活垃圾经营性处置企业未严格按照国家有关规定和技术标准，处置城市生活垃圾的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《城市生活垃圾管理办法》第二十八条第一项</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84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68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716"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465</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城市生活垃圾经营性处置企业未按照规定处理处置过程中产生的污水、废气、废渣、粉尘等，防止二次污染的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《城市生活垃圾管理办法》第二十八条第二项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033"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466</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w:t>
            </w:r>
            <w:r>
              <w:rPr>
                <w:rFonts w:hint="eastAsia" w:ascii="仿宋_GB2312" w:hAnsi="宋体" w:eastAsia="仿宋_GB2312" w:cs="宋体"/>
                <w:color w:val="000000" w:themeColor="text1"/>
                <w:szCs w:val="21"/>
                <w14:textFill>
                  <w14:solidFill>
                    <w14:schemeClr w14:val="tx1"/>
                  </w14:solidFill>
                </w14:textFill>
              </w:rPr>
              <w:t>未按照所在地建设（环境卫生）主管部门规定的时间和要求接收生活垃圾的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《城市生活垃圾管理办法》第二十八条第三项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0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7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40"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467</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w:t>
            </w:r>
            <w:r>
              <w:rPr>
                <w:rFonts w:hint="eastAsia" w:ascii="仿宋_GB2312" w:hAnsi="宋体" w:eastAsia="仿宋_GB2312" w:cs="宋体"/>
                <w:color w:val="000000" w:themeColor="text1"/>
                <w:szCs w:val="21"/>
                <w14:textFill>
                  <w14:solidFill>
                    <w14:schemeClr w14:val="tx1"/>
                  </w14:solidFill>
                </w14:textFill>
              </w:rPr>
              <w:t>未按照要求配备城市生活垃圾处置设备、设施，保证设施、设备运行良好的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《城市生活垃圾管理办法》第二十八条第四项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01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0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079"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468</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w:t>
            </w:r>
            <w:r>
              <w:rPr>
                <w:rFonts w:hint="eastAsia" w:ascii="仿宋_GB2312" w:hAnsi="宋体" w:eastAsia="仿宋_GB2312" w:cs="宋体"/>
                <w:color w:val="000000" w:themeColor="text1"/>
                <w:szCs w:val="21"/>
                <w14:textFill>
                  <w14:solidFill>
                    <w14:schemeClr w14:val="tx1"/>
                  </w14:solidFill>
                </w14:textFill>
              </w:rPr>
              <w:t>未保证城市生活垃圾处置站、场（厂）环境整洁的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《城市生活垃圾管理办法》第二十八条第五项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1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66"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469</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w:t>
            </w:r>
            <w:r>
              <w:rPr>
                <w:rFonts w:hint="eastAsia" w:ascii="仿宋_GB2312" w:hAnsi="宋体" w:eastAsia="仿宋_GB2312" w:cs="宋体"/>
                <w:color w:val="000000" w:themeColor="text1"/>
                <w:szCs w:val="21"/>
                <w14:textFill>
                  <w14:solidFill>
                    <w14:schemeClr w14:val="tx1"/>
                  </w14:solidFill>
                </w14:textFill>
              </w:rPr>
              <w:t>未按照要求配备合格的管理人员及操作人员的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《城市生活垃圾管理办法》第二十八条第六项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68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66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（1）经责令整改后，不采取整改措施的；（2）曾因实施该违法行为被查处，再次实施该违法行为的；（3）造成重大社会影响或严重危害后果的。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916"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470</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w:t>
            </w:r>
            <w:r>
              <w:rPr>
                <w:rFonts w:hint="eastAsia" w:ascii="仿宋_GB2312" w:hAnsi="宋体" w:eastAsia="仿宋_GB2312" w:cs="宋体"/>
                <w:color w:val="000000" w:themeColor="text1"/>
                <w:szCs w:val="21"/>
                <w14:textFill>
                  <w14:solidFill>
                    <w14:schemeClr w14:val="tx1"/>
                  </w14:solidFill>
                </w14:textFill>
              </w:rPr>
              <w:t>未对每日收运、进出场站、处置的生活垃圾进行计量，按照要求将统计数据和报表报送所在地建设（环境卫生）主管部门的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《城市生活垃圾管理办法》第二十八条第七项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1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7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（1）经责令整改后，不采取整改措施的；（2）曾因实施该违法行为被查处，再次实施该违法行为的；（3）造成重大社会影响或严重危害后果的。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92"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471</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w:t>
            </w:r>
            <w:r>
              <w:rPr>
                <w:rFonts w:hint="eastAsia" w:ascii="仿宋_GB2312" w:hAnsi="宋体" w:eastAsia="仿宋_GB2312" w:cs="宋体"/>
                <w:color w:val="000000" w:themeColor="text1"/>
                <w:szCs w:val="21"/>
                <w14:textFill>
                  <w14:solidFill>
                    <w14:schemeClr w14:val="tx1"/>
                  </w14:solidFill>
                </w14:textFill>
              </w:rPr>
              <w:t>未按照要求定期进行水、气、土壤等环境影响监测，对生活垃圾处理设施的性能和环保指标进行检测、评价，向所在地建设（环境卫生）主管部门报告检测、评价结果的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《城市生活垃圾管理办法》第二十八条第八项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81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07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（1）经责令整改后，不采取整改措施的；（2）曾因实施该违法行为被查处，再次实施该违法行为的；（3）造成重大社会影响或严重危害后果的。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263"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472</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从事城市生活垃圾经营性清扫、收集、运输的企业，未经批准擅自停业、歇业的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《城市生活垃圾管理办法》第三十五条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《城市生活垃圾管理办法》第四十六条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未经批准擅自停业、歇业1日以内的。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23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未经批准擅自停业、歇业1日以上3日以下的。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06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未经批准擅自停业、歇业3日以上的。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125"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473</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从事城市生活垃圾经营性处置的企业，未经批准擅自停业、歇业的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《城市生活垃圾管理办法》第三十五条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《城市生活垃圾管理办法》第四十六条</w:t>
            </w:r>
          </w:p>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未经批准擅自停业、歇业1日以内的。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07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未经批准擅自停业、歇业1日以上3日以下的。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43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未经批准擅自停业、歇业3日以上的。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3556"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474</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在主要街道临街建筑物的阳台和平台上长期堆放、吊挂有碍市容的物品，拒不改正的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《安徽省城市市容和环境卫生管理条例》第十二条第二款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《安徽省城市市容和环境卫生管理条例》第四十二条第一项</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责令纠正违法行为、采取补救措施外，可给予警告，并可处以20元罚款。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336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责令纠正违法行为、采取补救措施外，可给予警告，并可处以35元罚款。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（1）曾因实施该违法行为被查处，再次实施该违法行为的；（2）严重影响城市市容和环境卫生的。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责令纠正违法行为、采取补救措施外，可给予警告，并可处以50元罚款。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3211"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475</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未按照规定在主要临街城市建筑物上安装空调室外机、排气扇（管）、防盗窗（网）、遮阳蓬、太阳能热水器，拒不改正的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《安徽省城市市容和环境卫生管理条例》第十三条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《安徽省城市市容和环境卫生管理条例》第四十二条第二项</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责令纠正违法行为、采取补救措施外，可以给予警告，并可处以50元罚款。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370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责令纠正违法行为、采取补救措施外，可以给予警告，并可处以100元罚款。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（1）曾因实施该违法行为被查处，再次实施该违法行为的；（2）严重影响城市市容和环境卫生的。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责令纠正违法行为、采取补救措施外，可以给予警告，并可处以200元罚款。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2650"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476</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未经城市人民政府市容环境卫生行政主管部门同意，擅自设置大型户外广告，影响市容的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《安徽省城市市容和环境卫生管理条例》第十四条第二款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《安徽省城市市容和环境卫生管理条例》第四十二条第三项</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责令纠正违法行为、采取补救措施外，可以给予警告，并可处以500元以上1千元以下的罚款。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250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责令纠正违法行为、采取补救措施外，可以给予警告，并处以1千元以上1500元以下的罚款。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（1）责令限期改正后，不及时改正的；（2）曾因实施该违法行为被查处，再次实施该违法行为的；（3）严重影响城市市容和环境卫生的。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责令纠正违法行为、采取补救措施外，可以给予警告，并处以1500元以上2500元以下的罚款。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3023"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477</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在城市建筑物、构筑物、其他设施以及树木上涂写、刻画或者未经批准悬挂、张贴宣传品的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《安徽省城市市容和环境卫生管理条例》第十五条第一款、第十五条第二款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《安徽省城市市容和环境卫生管理条例》第四十二条第四项</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责令纠正违法行为、采取补救措施外，可以给予警告，并可处以100元的罚款。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332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责令纠正违法行为、采取补救措施外，可以给予警告，并可处以100元以上300元以下的罚款。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 严重影响城市市容和环境卫生的。</w:t>
            </w:r>
          </w:p>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责令纠正违法行为、采取补救措施外，可以给予警告，并可处以300元以上500元以下的罚款。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826"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478</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未经批准在街道两侧和公共场地堆放物料、摆摊设点、出店经营的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《安徽省城市市容和环境卫生管理条例》第十七条第一款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《安徽省城市市容和环境卫生管理条例》第四十二条第五项</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责令纠正违法行为、采取补救措施外，可以给予警告，并可处以100元的罚款。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67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责令纠正违法行为、采取补救措施外，可以给予警告，并处以100元以上300元以下的罚款。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（1）责令限期改正后，不及时改正的；（2）曾因实施该违法行为被查处，再次实施该违法行为的；（3）严重影响城市市容和环境卫生的。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责令纠正违法行为、采取补救措施外，可以给予警告，并可处以300元以上500元以下的罚款。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858"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479</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未经批准搭建建筑物、构筑物或者其他设施，影响市容的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《安徽省城市市容和环境卫生管理条例》第十七条第一款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《安徽省城市市容和环境卫生管理条例》第四十二条第五项</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责令纠正违法行为、采取补救措施外，可以给予警告，并可处以500元以上1千元以下的罚款。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04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责令纠正违法行为、采取补救措施外，可以给予警告，并可处以1千元以上1500元以下的罚款。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bottom w:val="single" w:color="auto" w:sz="4" w:space="0"/>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bottom w:val="single" w:color="auto" w:sz="4" w:space="0"/>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（1）责令限期改正后，不及时改正的；（2）曾因实施该违法行为被查处，再次实施该违法行为的；（3）严重影响城市市容和环境卫生的。</w:t>
            </w:r>
          </w:p>
        </w:tc>
        <w:tc>
          <w:tcPr>
            <w:tcW w:w="3232" w:type="dxa"/>
            <w:tcBorders>
              <w:bottom w:val="single" w:color="auto" w:sz="4" w:space="0"/>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责令纠正违法行为、采取补救措施外，可以给予警告，并可处以1500元以上2500元以下的罚款。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6"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480</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城市施工现场不符合规定，影响市容和环境卫生的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《安徽省城市市容和环境卫生管理条例》第十八条</w:t>
            </w:r>
          </w:p>
        </w:tc>
        <w:tc>
          <w:tcPr>
            <w:tcW w:w="4255" w:type="dxa"/>
            <w:gridSpan w:val="2"/>
            <w:vMerge w:val="restart"/>
            <w:tcBorders>
              <w:right w:val="single" w:color="auto" w:sz="4" w:space="0"/>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《安徽省城市市容和环境卫生管理条例》第四十二条第六项</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055"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op w:val="single" w:color="auto" w:sz="4" w:space="0"/>
              <w:left w:val="single" w:color="auto" w:sz="4" w:space="0"/>
              <w:bottom w:val="single" w:color="auto" w:sz="4" w:space="0"/>
              <w:right w:val="single" w:color="auto" w:sz="4" w:space="0"/>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责令纠正违法行为、采取补救措施外，可以给予警告,并可处以500元的罚款。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92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op w:val="single" w:color="auto" w:sz="4" w:space="0"/>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op w:val="single" w:color="auto" w:sz="4" w:space="0"/>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op w:val="single" w:color="auto" w:sz="4" w:space="0"/>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责令纠正违法行为、采取补救措施外，可以给予警告，并可处以500元以上700元以下的罚款。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（1）责令限期改正后，不及时改正的；（2）曾因实施该违法行为被查处，再次实施该违法行为的；（3）严重影响城市市容和环境卫生的。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责令纠正违法行为、采取补救措施外，可以给予警告，并可处以700元以上1千元以下的罚款。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78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481</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运输液体、散装货物不作密封、包扎、覆盖，造成泄漏、遗撒的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《安徽省城市市容和环境卫生管理条例》第十九条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《安徽省城市市容和环境卫生管理条例》第四十二条第七项</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责令纠正违法行为、采取补救措施外，可以给予警告，并可处以200元以上500元以下的罚款。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74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责令纠正违法行为、采取补救措施外，可以给予警告，并可处以500元以上700元以下的罚款。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（1）责令限期改正后，不及时改正的；（2）曾因实施该违法行为被查处，再次实施该违法行为的；（3）严重影响城市市容和环境卫生的。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责令纠正违法行为、采取补救措施外，可以给予警告，并可处以700元以上1千元以下的罚款。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850"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482</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未履行卫生责任区清扫保洁义务或者未按照规定清运、处理垃圾、粪便的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《安徽省城市市容和环境卫生管理条例》第二十一条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《安徽省城市市容和环境卫生管理条例》第四十二条第八项</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责令纠正违法行为、采取补救措施外，可以给予警告，并可处以200元以上500元以下的罚款。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3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责令纠正违法行为、采取补救措施外，可以给予警告，并可处以500元以上700元以下的罚款。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（1）责令限期改正后，不及时改正的；（2）曾因实施该违法行为被查处，再次实施该违法行为的；（3）严重影响城市市容和环境卫生的。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责令纠正违法行为、采取补救措施外，可以给予警告，并可处以700元以上1千元以下的罚款。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833"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483</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随地吐痰、乱扔果皮、纸屑和烟头的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p>
            <w:pPr>
              <w:widowControl/>
              <w:spacing w:line="240" w:lineRule="auto"/>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《安徽省城市市容和环境卫生管理条例》第二十四条</w:t>
            </w:r>
          </w:p>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《安徽省城市市容和环境卫生管理条例》第四十四条第一款第一项</w:t>
            </w:r>
          </w:p>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第二十四条规定，破坏公共环境卫生的，城市人民政府市容环境卫生行政主管部门除责令纠正违法行为，采取补救措施外，可以给予警告，并可按照下列规定处罚：（一）随地吐痰、乱扔果皮、纸屑和烟头的，处以5元以上25元以下的罚款；随地便溺、乱扔其他废弃物、焚烧垃圾和冥纸的，处以10元以上50元以下的罚款；（二）未按照规定的地点、方式倾倒污水、垃圾、粪便的，对个人处以50元以下的罚款，对单位处以1000元以下的罚款。</w:t>
            </w:r>
          </w:p>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违反第二十四条第四项规定，占用城市道路、街巷经营机动车辆修理、清洗业务，影响环境卫生的，由市容或者有关行政主管部门依法处以200元以上1000元以下的罚款。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w:t>
            </w:r>
            <w:r>
              <w:rPr>
                <w:rFonts w:hint="eastAsia" w:ascii="仿宋_GB2312" w:hAnsi="宋体" w:eastAsia="仿宋_GB2312" w:cs="宋体"/>
                <w:color w:val="000000" w:themeColor="text1"/>
                <w:szCs w:val="21"/>
                <w14:textFill>
                  <w14:solidFill>
                    <w14:schemeClr w14:val="tx1"/>
                  </w14:solidFill>
                </w14:textFill>
              </w:rPr>
              <w:t>处</w:t>
            </w:r>
            <w:r>
              <w:rPr>
                <w:rFonts w:hint="eastAsia" w:ascii="仿宋_GB2312" w:hAnsi="宋体" w:eastAsia="仿宋_GB2312" w:cs="宋体"/>
                <w:color w:val="000000" w:themeColor="text1"/>
                <w:kern w:val="0"/>
                <w:szCs w:val="21"/>
                <w14:textFill>
                  <w14:solidFill>
                    <w14:schemeClr w14:val="tx1"/>
                  </w14:solidFill>
                </w14:textFill>
              </w:rPr>
              <w:t>以5元罚款。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2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w:t>
            </w:r>
            <w:r>
              <w:rPr>
                <w:rFonts w:hint="eastAsia" w:ascii="仿宋_GB2312" w:hAnsi="宋体" w:eastAsia="仿宋_GB2312" w:cs="宋体"/>
                <w:color w:val="000000" w:themeColor="text1"/>
                <w:szCs w:val="21"/>
                <w14:textFill>
                  <w14:solidFill>
                    <w14:schemeClr w14:val="tx1"/>
                  </w14:solidFill>
                </w14:textFill>
              </w:rPr>
              <w:t>并可</w:t>
            </w:r>
            <w:r>
              <w:rPr>
                <w:rFonts w:hint="eastAsia" w:ascii="仿宋_GB2312" w:hAnsi="宋体" w:eastAsia="仿宋_GB2312" w:cs="宋体"/>
                <w:color w:val="000000" w:themeColor="text1"/>
                <w:kern w:val="0"/>
                <w:szCs w:val="21"/>
                <w14:textFill>
                  <w14:solidFill>
                    <w14:schemeClr w14:val="tx1"/>
                  </w14:solidFill>
                </w14:textFill>
              </w:rPr>
              <w:t>处以15元罚款。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w:t>
            </w:r>
            <w:r>
              <w:rPr>
                <w:rFonts w:hint="eastAsia" w:ascii="仿宋_GB2312" w:hAnsi="宋体" w:eastAsia="仿宋_GB2312" w:cs="宋体"/>
                <w:color w:val="000000" w:themeColor="text1"/>
                <w:szCs w:val="21"/>
                <w14:textFill>
                  <w14:solidFill>
                    <w14:schemeClr w14:val="tx1"/>
                  </w14:solidFill>
                </w14:textFill>
              </w:rPr>
              <w:t>并可</w:t>
            </w:r>
            <w:r>
              <w:rPr>
                <w:rFonts w:hint="eastAsia" w:ascii="仿宋_GB2312" w:hAnsi="宋体" w:eastAsia="仿宋_GB2312" w:cs="宋体"/>
                <w:color w:val="000000" w:themeColor="text1"/>
                <w:kern w:val="0"/>
                <w:szCs w:val="21"/>
                <w14:textFill>
                  <w14:solidFill>
                    <w14:schemeClr w14:val="tx1"/>
                  </w14:solidFill>
                </w14:textFill>
              </w:rPr>
              <w:t>处以25元罚款。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04"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484</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随地便溺、乱扔其他废弃物、焚烧垃圾和冥纸的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《安徽省城市市容和环境卫生管理条例》第二十四条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《安徽省城市市容和环境卫生管理条例》第四十四条第一款第一项</w:t>
            </w:r>
          </w:p>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违反第二十四条规定，破坏公共环境卫生的，城市人民政府市容环境卫生行政主管部门除责令纠正违法行为，采取补救措施外，可以给予警告，并可按照下列规定处罚： （一）随地吐痰、乱扔果皮、纸屑和烟头的，处以5元以上25元以下的罚款；随地便溺、乱扔其他废弃物、焚烧垃圾和冥纸的，处以10元以上50元以下的罚款；（二）未按照规定的地点、方式倾倒污水、垃圾、粪便的，对个人处以50元以下的罚款，对单位处以1000元以下的罚款。</w:t>
            </w:r>
          </w:p>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违反第二十四条第（四）项规定，占用城市道路、街巷经营机动车辆修理、清洗业务，影响环境卫生的，由市容或者有关行政主管部门依法处以200元以上1000元以下的罚款。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w:t>
            </w:r>
            <w:r>
              <w:rPr>
                <w:rFonts w:hint="eastAsia" w:ascii="仿宋_GB2312" w:hAnsi="宋体" w:eastAsia="仿宋_GB2312" w:cs="宋体"/>
                <w:color w:val="000000" w:themeColor="text1"/>
                <w:szCs w:val="21"/>
                <w14:textFill>
                  <w14:solidFill>
                    <w14:schemeClr w14:val="tx1"/>
                  </w14:solidFill>
                </w14:textFill>
              </w:rPr>
              <w:t>处</w:t>
            </w:r>
            <w:r>
              <w:rPr>
                <w:rFonts w:hint="eastAsia" w:ascii="仿宋_GB2312" w:hAnsi="宋体" w:eastAsia="仿宋_GB2312" w:cs="宋体"/>
                <w:color w:val="000000" w:themeColor="text1"/>
                <w:kern w:val="0"/>
                <w:szCs w:val="21"/>
                <w14:textFill>
                  <w14:solidFill>
                    <w14:schemeClr w14:val="tx1"/>
                  </w14:solidFill>
                </w14:textFill>
              </w:rPr>
              <w:t>以10元罚款。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6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w:t>
            </w:r>
            <w:r>
              <w:rPr>
                <w:rFonts w:hint="eastAsia" w:ascii="仿宋_GB2312" w:hAnsi="宋体" w:eastAsia="仿宋_GB2312" w:cs="宋体"/>
                <w:color w:val="000000" w:themeColor="text1"/>
                <w:szCs w:val="21"/>
                <w14:textFill>
                  <w14:solidFill>
                    <w14:schemeClr w14:val="tx1"/>
                  </w14:solidFill>
                </w14:textFill>
              </w:rPr>
              <w:t>并可</w:t>
            </w:r>
            <w:r>
              <w:rPr>
                <w:rFonts w:hint="eastAsia" w:ascii="仿宋_GB2312" w:hAnsi="宋体" w:eastAsia="仿宋_GB2312" w:cs="宋体"/>
                <w:color w:val="000000" w:themeColor="text1"/>
                <w:kern w:val="0"/>
                <w:szCs w:val="21"/>
                <w14:textFill>
                  <w14:solidFill>
                    <w14:schemeClr w14:val="tx1"/>
                  </w14:solidFill>
                </w14:textFill>
              </w:rPr>
              <w:t>处以30元罚款。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2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w:t>
            </w:r>
            <w:r>
              <w:rPr>
                <w:rFonts w:hint="eastAsia" w:ascii="仿宋_GB2312" w:hAnsi="宋体" w:eastAsia="仿宋_GB2312" w:cs="宋体"/>
                <w:color w:val="000000" w:themeColor="text1"/>
                <w:szCs w:val="21"/>
                <w14:textFill>
                  <w14:solidFill>
                    <w14:schemeClr w14:val="tx1"/>
                  </w14:solidFill>
                </w14:textFill>
              </w:rPr>
              <w:t>并可</w:t>
            </w:r>
            <w:r>
              <w:rPr>
                <w:rFonts w:hint="eastAsia" w:ascii="仿宋_GB2312" w:hAnsi="宋体" w:eastAsia="仿宋_GB2312" w:cs="宋体"/>
                <w:color w:val="000000" w:themeColor="text1"/>
                <w:kern w:val="0"/>
                <w:szCs w:val="21"/>
                <w14:textFill>
                  <w14:solidFill>
                    <w14:schemeClr w14:val="tx1"/>
                  </w14:solidFill>
                </w14:textFill>
              </w:rPr>
              <w:t>处以50元罚款。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92"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485</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未按照规定的地点、方式倾倒污水、垃圾、粪便的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p>
            <w:pPr>
              <w:widowControl/>
              <w:spacing w:line="240" w:lineRule="auto"/>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《安徽省城市市容和环境卫生管理条例》第二十四条</w:t>
            </w:r>
          </w:p>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《安徽省城市市容和环境卫生管理条例》第四十四条第一款第二项</w:t>
            </w:r>
          </w:p>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违反第二十四条规定，破坏公共环境卫生的，城市人民政府市容环境卫生行政主管部门除责令纠正违法行为，采取补救措施外，可以给予警告，并可按照下列规定处罚： （一）随地吐痰、乱扔果皮、纸屑和烟头的，处以5元以上25元以下的罚款；随地便溺、乱扔其他废弃物、焚烧垃圾和冥纸的，处以10元以上50元以下的罚款：（二）未按照规定的地点、方式倾倒污水、垃圾、粪便的，对个人处以50元以下的罚款，对单位处以1000元以下的罚款。</w:t>
            </w:r>
          </w:p>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违反第二十四条第（四）项规定，占用城市道路、街巷经营机动车辆修理、清洗业务，影响环境卫生的，由市容或者有关行政主管部门依法处以200元以上1000元以下的罚款。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w:t>
            </w:r>
            <w:r>
              <w:rPr>
                <w:rFonts w:hint="eastAsia" w:ascii="仿宋_GB2312" w:hAnsi="宋体" w:eastAsia="仿宋_GB2312" w:cs="宋体"/>
                <w:color w:val="000000" w:themeColor="text1"/>
                <w:szCs w:val="21"/>
                <w14:textFill>
                  <w14:solidFill>
                    <w14:schemeClr w14:val="tx1"/>
                  </w14:solidFill>
                </w14:textFill>
              </w:rPr>
              <w:t>并可对个人处</w:t>
            </w:r>
            <w:r>
              <w:rPr>
                <w:rFonts w:hint="eastAsia" w:ascii="仿宋_GB2312" w:hAnsi="宋体" w:eastAsia="仿宋_GB2312" w:cs="宋体"/>
                <w:color w:val="000000" w:themeColor="text1"/>
                <w:kern w:val="0"/>
                <w:szCs w:val="21"/>
                <w14:textFill>
                  <w14:solidFill>
                    <w14:schemeClr w14:val="tx1"/>
                  </w14:solidFill>
                </w14:textFill>
              </w:rPr>
              <w:t>以20元以下罚款，对单位处以200元以下罚款。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7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w:t>
            </w:r>
            <w:r>
              <w:rPr>
                <w:rFonts w:hint="eastAsia" w:ascii="仿宋_GB2312" w:hAnsi="宋体" w:eastAsia="仿宋_GB2312" w:cs="宋体"/>
                <w:color w:val="000000" w:themeColor="text1"/>
                <w:szCs w:val="21"/>
                <w14:textFill>
                  <w14:solidFill>
                    <w14:schemeClr w14:val="tx1"/>
                  </w14:solidFill>
                </w14:textFill>
              </w:rPr>
              <w:t>并可对个人</w:t>
            </w:r>
            <w:r>
              <w:rPr>
                <w:rFonts w:hint="eastAsia" w:ascii="仿宋_GB2312" w:hAnsi="宋体" w:eastAsia="仿宋_GB2312" w:cs="宋体"/>
                <w:color w:val="000000" w:themeColor="text1"/>
                <w:kern w:val="0"/>
                <w:szCs w:val="21"/>
                <w14:textFill>
                  <w14:solidFill>
                    <w14:schemeClr w14:val="tx1"/>
                  </w14:solidFill>
                </w14:textFill>
              </w:rPr>
              <w:t>处以20元以上30元以下的罚款，对单位处以200元以上500元以下罚款。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2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w:t>
            </w:r>
            <w:r>
              <w:rPr>
                <w:rFonts w:hint="eastAsia" w:ascii="仿宋_GB2312" w:hAnsi="宋体" w:eastAsia="仿宋_GB2312" w:cs="宋体"/>
                <w:color w:val="000000" w:themeColor="text1"/>
                <w:szCs w:val="21"/>
                <w14:textFill>
                  <w14:solidFill>
                    <w14:schemeClr w14:val="tx1"/>
                  </w14:solidFill>
                </w14:textFill>
              </w:rPr>
              <w:t>并可对个人</w:t>
            </w:r>
            <w:r>
              <w:rPr>
                <w:rFonts w:hint="eastAsia" w:ascii="仿宋_GB2312" w:hAnsi="宋体" w:eastAsia="仿宋_GB2312" w:cs="宋体"/>
                <w:color w:val="000000" w:themeColor="text1"/>
                <w:kern w:val="0"/>
                <w:szCs w:val="21"/>
                <w14:textFill>
                  <w14:solidFill>
                    <w14:schemeClr w14:val="tx1"/>
                  </w14:solidFill>
                </w14:textFill>
              </w:rPr>
              <w:t>处以30元以上50元以下的罚款，对单位处以500元以上1000元以下罚款。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6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486</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占用城市道路、街巷经营机动车辆修理、清洗业务，影响环境卫生的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《安徽省城市市容和环境卫生管理条例》第二十四条第（四）项</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《安徽省城市市容和环境卫生管理条例》第四十四条第二款</w:t>
            </w:r>
          </w:p>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违反第二十四条规定，破坏公共环境卫生的，城市人民政府市容环境卫生行政主管部门除责令纠正违法行为，采取补救措施外，可以给予警告，并可按照下列规定处罚： （一）随地吐痰、乱扔果皮、纸屑和烟头的，处以5元以上25元以下的罚款；随地便溺、乱扔其他废弃物、焚烧垃圾和冥纸的，处以10元以上50元以下的罚款；（二）未按照规定的地点、方式倾倒污水、垃圾、粪便的，对个人处以50元以下的罚款，对单位处以1000元以下的罚款。</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违反第二十四条第（四）项规定，占用城市道路、街巷经营机动车辆修理、清洗业务，影响环境卫生的，由市容或者有关行政主管部门依法处以200元以上1000元以下的罚款。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占用主要道路面积6平方米以下，或者占用非主要道路面积10平方米以下的。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处以200元以上500元以下的罚款。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6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占用主要道路面积6平方米以上10平方米以下，或者占用非主要道路面积10平方米以上20平方米以下的。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处以500元以上700元以下的罚款。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占用主要道路面积10平方米以上，或者占用非主要道路面积20平方米以上的；（2）严重影响市容环境卫生的；（3）责令限期改正后，不及时改正的；（4）曾因实施该违法行为被查处，再次实施该违法行为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处以700元以上1千元以下的罚款。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487</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未按照城市人民政府市容环境卫生行政主管部门规定的时间、线路和要求清运建筑垃圾的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《安徽省城市市容和环境卫生管理条例》第二十五条第二款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《安徽省城市市容和环境卫生管理条例》第四十五条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第二十五条第二款规定，未按照城市人民政府市容环境卫生行政主管部门规定的时间、线路和要求清运建筑垃圾的，城市人民政府市容环境卫生行政主管部门除责令其纠正违法行为，采取补救措施外，可以给予警告，并可处以每车100元以上200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除责令其纠正违法行为，采取补救措施外，可以给予警告，并可处以每车100元的罚款。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3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除责令其纠正违法行为，采取补救措施外，可以给予警告，并处以每车100元以上150元以下罚款。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除责令其纠正违法行为，采取补救措施外，可以给予警告，并可处以每车150元以上200元以下的罚款。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27"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488</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饲养家畜家禽影响市容和环境卫生的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《安徽省城市市容和环境卫生管理条例》第二十九条第一款</w:t>
            </w:r>
          </w:p>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《城市市容和环境卫生管理条例》第三十三条</w:t>
            </w:r>
          </w:p>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《安徽省城市市容和环境卫生管理条例》第四十六条第一款</w:t>
            </w:r>
          </w:p>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违反第二十九条第一款规定，未经批准在市区内饲养家畜家禽，影响市容和环境卫生的，由城市人民政府市容环境卫生行政主管部门责令限期处理或者予以没收，并可处以50元以上200元以下的罚款。</w:t>
            </w:r>
          </w:p>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《城市市容和环境卫生管理条例》第三十五条</w:t>
            </w:r>
          </w:p>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饲养家畜家禽影响市容和环境卫生的，由城市人民政府市容环境卫生行政主管部门或者其委托的单位，责令其限期处理或者予以没收，并可处以罚款。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责令限期处理或者予以没收，</w:t>
            </w:r>
            <w:r>
              <w:rPr>
                <w:rFonts w:hint="eastAsia" w:ascii="仿宋_GB2312" w:hAnsi="宋体" w:eastAsia="仿宋_GB2312" w:cs="宋体"/>
                <w:color w:val="000000" w:themeColor="text1"/>
                <w:szCs w:val="21"/>
                <w14:textFill>
                  <w14:solidFill>
                    <w14:schemeClr w14:val="tx1"/>
                  </w14:solidFill>
                </w14:textFill>
              </w:rPr>
              <w:t>并可处以50元以上100元以下的罚款。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65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责令限期处理或者予以没收，</w:t>
            </w:r>
            <w:r>
              <w:rPr>
                <w:rFonts w:hint="eastAsia" w:ascii="仿宋_GB2312" w:hAnsi="宋体" w:eastAsia="仿宋_GB2312" w:cs="宋体"/>
                <w:color w:val="000000" w:themeColor="text1"/>
                <w:szCs w:val="21"/>
                <w14:textFill>
                  <w14:solidFill>
                    <w14:schemeClr w14:val="tx1"/>
                  </w14:solidFill>
                </w14:textFill>
              </w:rPr>
              <w:t>并可处以100元以上150元以下的罚款。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22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责令限期处理或者予以没收，</w:t>
            </w:r>
            <w:r>
              <w:rPr>
                <w:rFonts w:hint="eastAsia" w:ascii="仿宋_GB2312" w:hAnsi="宋体" w:eastAsia="仿宋_GB2312" w:cs="宋体"/>
                <w:color w:val="000000" w:themeColor="text1"/>
                <w:szCs w:val="21"/>
                <w14:textFill>
                  <w14:solidFill>
                    <w14:schemeClr w14:val="tx1"/>
                  </w14:solidFill>
                </w14:textFill>
              </w:rPr>
              <w:t>并可处以150元以上200元以下的罚款。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703"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489</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在公共场所遗留宠物粪便不及时清除影响环境卫生的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《安徽省城市市容和环境卫生管理条例》第二十九条第二款</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《安徽省城市市容和环境卫生管理条例》第四十六条第二款</w:t>
            </w:r>
          </w:p>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违反第二十九条第二款规定，在公共场所遗留宠物粪便，不即时清除，影响环境卫生的，对其饲养人处以50元以上200元以下的罚款。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处以50元以上100元以下的罚款。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62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处以100元以上150元以下的罚款。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处以150元以上200元以下的罚款。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160"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490</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损坏各类环境卫生设施及其附属设施的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《安徽省城市市容和环境卫生管理条例》第三十七条第二款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《安徽省城市市容和环境卫生管理条例》第四十七条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违反第三十七条第二款的规定，损坏各类环境卫生设施及其附属设施的，城市人民政府</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"https://baike.baidu.com/item/%E5%B8%82%E5%AE%B9%E7%8E%AF%E5%A2%83%E5%8D%AB%E7%94%9F/10289798" \t "_blank" </w:instrText>
            </w:r>
            <w:r>
              <w:rPr>
                <w:color w:val="000000" w:themeColor="text1"/>
                <w14:textFill>
                  <w14:solidFill>
                    <w14:schemeClr w14:val="tx1"/>
                  </w14:solidFill>
                </w14:textFill>
              </w:rPr>
              <w:fldChar w:fldCharType="separate"/>
            </w:r>
            <w:r>
              <w:rPr>
                <w:rFonts w:hint="eastAsia" w:ascii="仿宋_GB2312" w:hAnsi="宋体" w:eastAsia="仿宋_GB2312" w:cs="宋体"/>
                <w:color w:val="000000" w:themeColor="text1"/>
                <w:kern w:val="0"/>
                <w:szCs w:val="21"/>
                <w14:textFill>
                  <w14:solidFill>
                    <w14:schemeClr w14:val="tx1"/>
                  </w14:solidFill>
                </w14:textFill>
              </w:rPr>
              <w:t>市容环境卫生</w:t>
            </w:r>
            <w:r>
              <w:rPr>
                <w:rFonts w:hint="eastAsia" w:ascii="仿宋_GB2312" w:hAnsi="宋体" w:eastAsia="仿宋_GB2312" w:cs="宋体"/>
                <w:color w:val="000000" w:themeColor="text1"/>
                <w:kern w:val="0"/>
                <w:szCs w:val="21"/>
                <w14:textFill>
                  <w14:solidFill>
                    <w14:schemeClr w14:val="tx1"/>
                  </w14:solidFill>
                </w14:textFill>
              </w:rPr>
              <w:fldChar w:fldCharType="end"/>
            </w:r>
            <w:r>
              <w:rPr>
                <w:rFonts w:hint="eastAsia" w:ascii="仿宋_GB2312" w:hAnsi="宋体" w:eastAsia="仿宋_GB2312" w:cs="宋体"/>
                <w:color w:val="000000" w:themeColor="text1"/>
                <w:kern w:val="0"/>
                <w:szCs w:val="21"/>
                <w14:textFill>
                  <w14:solidFill>
                    <w14:schemeClr w14:val="tx1"/>
                  </w14:solidFill>
                </w14:textFill>
              </w:rPr>
              <w:t>行政主管部门除责令恢复原状外，可并处以500元以上1000元以下的罚款；擅自拆除、迁移环境卫生设施或者未按批准的拆迁方案进行拆迁的，由城市人民政府市容环境卫生行政主管部门责令停止违法行为，限期清理或者采取其他补救措施，并可处以1000元以上5000元以下的罚款；盗窃、损坏各类环境卫生设施及其附属设施，应当给予治安管理处罚的，依照治安管理处罚条例的规定处罚；构成犯罪的，依法追究刑事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除责令恢复原状，可并处以500元的罚款。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8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除责令恢复原状，可并处以500元以上750元以下的罚款。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除责令恢复原状，可并处以750元以上1千元以下的罚款。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28"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491</w:t>
            </w:r>
          </w:p>
        </w:tc>
        <w:tc>
          <w:tcPr>
            <w:tcW w:w="1440"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擅自拆除、迁移环境卫生设施或者未按批准的拆迁方案进行拆迁的</w:t>
            </w:r>
          </w:p>
        </w:tc>
        <w:tc>
          <w:tcPr>
            <w:tcW w:w="1115"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《安徽省城市市容和环境卫生管理条例》第三十七条</w:t>
            </w:r>
            <w:r>
              <w:rPr>
                <w:rFonts w:hint="eastAsia" w:ascii="仿宋_GB2312" w:hAnsi="宋体" w:eastAsia="仿宋_GB2312" w:cs="宋体"/>
                <w:color w:val="000000" w:themeColor="text1"/>
                <w:szCs w:val="21"/>
                <w14:textFill>
                  <w14:solidFill>
                    <w14:schemeClr w14:val="tx1"/>
                  </w14:solidFill>
                </w14:textFill>
              </w:rPr>
              <w:t>第二款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《安徽省城市市容和环境卫生管理条例》第四十七条</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违反第三十七条第二款的规定，损坏各类环境卫生设施及其附属设施的，城市人民政府</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"https://baike.baidu.com/item/%E5%B8%82%E5%AE%B9%E7%8E%AF%E5%A2%83%E5%8D%AB%E7%94%9F/10289798" \t "_blank" </w:instrText>
            </w:r>
            <w:r>
              <w:rPr>
                <w:color w:val="000000" w:themeColor="text1"/>
                <w14:textFill>
                  <w14:solidFill>
                    <w14:schemeClr w14:val="tx1"/>
                  </w14:solidFill>
                </w14:textFill>
              </w:rPr>
              <w:fldChar w:fldCharType="separate"/>
            </w:r>
            <w:r>
              <w:rPr>
                <w:rFonts w:hint="eastAsia" w:ascii="仿宋_GB2312" w:hAnsi="宋体" w:eastAsia="仿宋_GB2312" w:cs="宋体"/>
                <w:color w:val="000000" w:themeColor="text1"/>
                <w:kern w:val="0"/>
                <w:szCs w:val="21"/>
                <w14:textFill>
                  <w14:solidFill>
                    <w14:schemeClr w14:val="tx1"/>
                  </w14:solidFill>
                </w14:textFill>
              </w:rPr>
              <w:t>市容环境卫生</w:t>
            </w:r>
            <w:r>
              <w:rPr>
                <w:rFonts w:hint="eastAsia" w:ascii="仿宋_GB2312" w:hAnsi="宋体" w:eastAsia="仿宋_GB2312" w:cs="宋体"/>
                <w:color w:val="000000" w:themeColor="text1"/>
                <w:kern w:val="0"/>
                <w:szCs w:val="21"/>
                <w14:textFill>
                  <w14:solidFill>
                    <w14:schemeClr w14:val="tx1"/>
                  </w14:solidFill>
                </w14:textFill>
              </w:rPr>
              <w:fldChar w:fldCharType="end"/>
            </w:r>
            <w:r>
              <w:rPr>
                <w:rFonts w:hint="eastAsia" w:ascii="仿宋_GB2312" w:hAnsi="宋体" w:eastAsia="仿宋_GB2312" w:cs="宋体"/>
                <w:color w:val="000000" w:themeColor="text1"/>
                <w:kern w:val="0"/>
                <w:szCs w:val="21"/>
                <w14:textFill>
                  <w14:solidFill>
                    <w14:schemeClr w14:val="tx1"/>
                  </w14:solidFill>
                </w14:textFill>
              </w:rPr>
              <w:t>行政主管部门除责令恢复原状外，可并处以500元以上1000元以下的罚款；擅自拆除、迁移环境卫生设施或者未按批准的拆迁方案进行拆迁的，由城市人民政府市容环境卫生行政主管部门责令停止违法行为，限期清理或者采取其他补救措施，并可处以1000元以上5000元以下的罚款；盗窃、损坏各类环境卫生设施及其附属设施，应当给予治安管理处罚的，依照治安管理处罚条例的规定处罚；构成犯罪的，依法追究刑事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责令停止违法行为，限期清理或者采取其他补救措施，并可处以1千元的罚款。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5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责令停止违法行为，限期清理或者采取其他补救措施，并可处以1千元以上3千元以下的罚款。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责令停止违法行为，限期清理或者采取其他补救措施，并可处以3千元以上5千元以下的罚款。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08"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492</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将安装有淘汰便器水箱和配件的新建房屋验收交付使用的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《城市房屋便器水箱应用监督管理办法》第三条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《城市房屋便器水箱应用监督管理办法》第九条第一项</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安装50套以下的。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责令限期改正、按测算漏水量月累计征收3倍的加价水费，并可按每套便器水箱配件处以30元以上50元以下的罚款，最高不超过10000元。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8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安装50套以上100套以下的。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责令限期改正、按测算漏水量月累计征收4倍的加价水费，并按每套便器水箱配件处以50元以上80元以下的罚款，最高不超过20000元。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2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安装100套以上的。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责令限期改正、按测算漏水量月累计征收5倍的加价水费，并按每套便器水箱配件处以80元以上100元以下的罚款，最高不超过30000元。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493</w:t>
            </w:r>
          </w:p>
        </w:tc>
        <w:tc>
          <w:tcPr>
            <w:tcW w:w="1440" w:type="dxa"/>
            <w:gridSpan w:val="2"/>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未按更新改造计划更换淘汰便器水箱和配件的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《城市房屋便器水箱应用监督管理办法》第四条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《城市房屋便器水箱应用监督管理办法》第九条第二项</w:t>
            </w:r>
          </w:p>
          <w:p>
            <w:pPr>
              <w:widowControl/>
              <w:spacing w:line="240" w:lineRule="auto"/>
              <w:ind w:firstLine="210" w:firstLineChars="100"/>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未更换50套（件）以内的；逾期10天以内的。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责令限期改正、按测算漏水量月累计征收3倍的加价水费，并可按每套便器水箱配件处以30元以上50元以下的罚款，最高不超过10000元。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未更换50套（件）以上100套（件）以下的；逾期10天以上30天以内的。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责令限期改正、按测算漏水量月累计征收4倍的加价水费，并按每套便器水箱配件处以50元以上80元以下的罚款，最高不超过20000元。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未更换100套（件）以上的；逾期30天以上的。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责令限期改正、按测算漏水量月累计征收5倍的加价水费，并按每套便器水箱配件处以80元以上100元以下的罚款，最高不超过30000元。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494</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在限定的期限内未更换淘汰便器水箱和配件的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《城市房屋便器水箱应用监督管理办法》第四条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《城市房屋便器水箱应用监督管理办法》第九条第三项</w:t>
            </w:r>
          </w:p>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未更换50套（件）以内的；逾期10天以内的。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责令限期改正、按测算漏水量月累计征收3倍的加价水费，并可按每套便器水箱配件处以30元以上50元以下的罚款，最高不超过10000元。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未更换50套（件）以上100套（件）以下的；逾期10天以上30天以内的。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责令限期改正、按测算漏水量月累计征收4倍的加价水费，并按每套便器水箱配件处以50元以上80元以下的罚款，最高不超过20000元。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未更换100套（件）以上的；逾期30天以上的。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责令限期改正、按测算漏水量月累计征收5倍的加价水费，并按每套便器水箱配件处以80元以上100元以下的罚款，最高不超过30000元。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495</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对漏水严重的房屋便器水箱和配件未按期进行维修或者更新的</w:t>
            </w:r>
          </w:p>
        </w:tc>
        <w:tc>
          <w:tcPr>
            <w:tcW w:w="1115" w:type="dxa"/>
            <w:gridSpan w:val="3"/>
            <w:vMerge w:val="restart"/>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《城市房屋便器水箱应用监督管理办法》第七条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《城市房屋便器水箱应用监督管理办法》第九条第四项</w:t>
            </w:r>
          </w:p>
          <w:p>
            <w:pPr>
              <w:widowControl/>
              <w:spacing w:line="240" w:lineRule="auto"/>
              <w:ind w:firstLine="210" w:firstLineChars="100"/>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未维修或更新50套（件）以内的；逾期10天以内的。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责令限期改正、按测算漏水量月累计征收3倍的加价水费，并可按每套便器水箱配件处以30元以上50元以下的罚款，最高不超过10000元。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未维修或者更新50套（件）以上100套（件）以下的；逾期10天以上30天以内的。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责令限期改正、按测算漏水量月累计征收4倍的加价水费，并按每套便器水箱配件处以50元以上80元以下的罚款，最高不超过20000元。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未维修或者更新100套（件）以上的；逾期30天以上的。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责令限期改正、按测算漏水量月累计征收5倍的加价水费，并按每套便器水箱配件处以80元以上100元以下的罚款，最高不超过30000元。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19" w:hRule="atLeast"/>
          <w:jc w:val="center"/>
        </w:trPr>
        <w:tc>
          <w:tcPr>
            <w:tcW w:w="13795" w:type="dxa"/>
            <w:gridSpan w:val="16"/>
            <w:tcBorders>
              <w:tl2br w:val="nil"/>
              <w:tr2bl w:val="nil"/>
            </w:tcBorders>
            <w:vAlign w:val="center"/>
          </w:tcPr>
          <w:p>
            <w:pPr>
              <w:widowControl/>
              <w:spacing w:line="240" w:lineRule="auto"/>
              <w:ind w:firstLine="6324" w:firstLineChars="3000"/>
              <w:rPr>
                <w:rFonts w:ascii="仿宋_GB2312" w:hAnsi="宋体" w:eastAsia="仿宋_GB2312" w:cs="宋体"/>
                <w:b/>
                <w:color w:val="000000" w:themeColor="text1"/>
                <w:szCs w:val="21"/>
                <w14:textFill>
                  <w14:solidFill>
                    <w14:schemeClr w14:val="tx1"/>
                  </w14:solidFill>
                </w14:textFill>
              </w:rPr>
            </w:pPr>
            <w:r>
              <w:rPr>
                <w:rFonts w:hint="eastAsia" w:ascii="仿宋_GB2312" w:eastAsia="仿宋_GB2312"/>
                <w:b/>
                <w:color w:val="000000" w:themeColor="text1"/>
                <w14:textFill>
                  <w14:solidFill>
                    <w14:schemeClr w14:val="tx1"/>
                  </w14:solidFill>
                </w14:textFill>
              </w:rPr>
              <w:t>大气污染防治类</w:t>
            </w:r>
            <w:r>
              <w:rPr>
                <w:rFonts w:hint="eastAsia" w:ascii="仿宋_GB2312" w:hAnsi="宋体" w:eastAsia="仿宋_GB2312" w:cs="宋体"/>
                <w:b/>
                <w:color w:val="000000" w:themeColor="text1"/>
                <w:szCs w:val="21"/>
                <w14:textFill>
                  <w14:solidFill>
                    <w14:schemeClr w14:val="tx1"/>
                  </w14:solidFill>
                </w14:textFill>
              </w:rPr>
              <w:t>（19项）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240"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hint="default" w:ascii="仿宋_GB2312" w:eastAsia="仿宋_GB2312"/>
                <w:color w:val="000000" w:themeColor="text1"/>
                <w:lang w:val="en-US" w:eastAsia="zh-CN"/>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496</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施工单位未按照工地扬尘污染防治方案的要求，在施工现场出入口公示扬尘污染控制措施、负责人、环保监督员、扬尘监管主管部门等有关信息，接受社会监督，并未采取下列扬尘污染防治措施的：(1)施工现场实行围挡封闭，出入口位置配备车辆冲洗设施；(2)施工现场出入口、主要道路、加工区等采取硬化处理措施；(3)施工现场采取洒水、覆盖、铺装、绿化等降尘措施；(4)施工现场建筑材料实行集中、分类堆放。建筑垃圾采取封闭方式清运，严禁高处抛洒；(5)外脚手架设置悬挂密目式安全网的方式封闭；(6)施工现场禁止焚烧沥青、油毡、橡胶、垃圾等易产生有毒有害烟尘和恶臭气体的物质；(7)易产生扬尘的建筑材料采取封闭运输；(8)启动Ⅲ级(黄色)预警或气象预报风速达到四级以上时，不得进行土方挖填、转运和拆除等易产生扬尘的作业</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《安徽省大气污染防治条例》第六十二条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《安徽省大气污染防治条例》第八十九条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六十二条规定，施工单位未采取扬尘污染防治措施，或者违反本条例第六十三条第一款规定，生产预拌混凝土、预拌砂浆未采取密闭、围挡、洒水、冲洗等防尘措施的，由县级以上人民政府住房和城乡建设部门责令改正，处以二万元以上十万元以下罚款；拒不改正的，责令停工整治。</w:t>
            </w:r>
          </w:p>
        </w:tc>
        <w:tc>
          <w:tcPr>
            <w:tcW w:w="1055" w:type="dxa"/>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建筑工程存在以下情形之一，造成轻度扬尘污染的：（1）施工现场未设置围档封闭，现场出入口位置未建冲洗平台和沉淀池，未配备车辆冲洗设施的；（2）施工现场无扬尘防治公示牌，现场出入口市政路面保洁不符合要求,有明显污染的；（3）施工现场出入口、主要道路、加工区等未采取硬化措施的；（4）施工现场未采取洒水、覆盖、铺装、绿化等降尘措施，场内堆放裸土或裸露地面未采取覆盖、绿化等措施的；（5）施工现场建筑材料未实行集中、分类堆放，未设置明显标示牌。建筑垃圾未采取封闭方式清运，有高处抛洒现象的；（6）施工现场生产预拌混凝土和砂浆，搅拌机棚未围挡封闭。水泥、砂石等散体材料未集中、分类堆放，且未采取覆盖措施的； （7）外脚手架未悬挂密目式安全网、安全网多处破损、底层安全网有开口现象；（8）施工现场焚烧沥青、油毡、橡胶、垃圾等易产生有毒有害烟尘和恶臭气体物质的；（9）易产生扬尘的建筑材料未采取封闭运输的；（10）当启动Ⅲ级（黄色）预警或气象预报风速达到四级以上时，进行土方挖填、转运和露天切割等易产生扬尘作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责令改正，处2万元的罚款；拒不改正的，责令停工整治。</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240" w:hRule="atLeast"/>
          <w:jc w:val="center"/>
        </w:trPr>
        <w:tc>
          <w:tcPr>
            <w:tcW w:w="566" w:type="dxa"/>
            <w:gridSpan w:val="2"/>
            <w:vMerge w:val="continue"/>
            <w:tcBorders>
              <w:tl2br w:val="nil"/>
              <w:tr2bl w:val="nil"/>
            </w:tcBorders>
            <w:vAlign w:val="center"/>
          </w:tcPr>
          <w:p>
            <w:pPr>
              <w:pStyle w:val="29"/>
              <w:widowControl/>
              <w:numPr>
                <w:ilvl w:val="1"/>
                <w:numId w:val="7"/>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建筑工程存在上述2-5项情形，造成扬尘污染的。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违反其中2项的，责令改正，处2万元以上3万元以下的罚款；拒不改正的，责令停工整治;（2）违反其中3项的，责令改正，处3万元以上4万元以下的罚款；拒不改正的，责令停工整治;（3）违反其中4项的，责令改正，处4万元以上5万元以下的罚款；拒不改正的，责令停工整治；（4）违反其中5项的，责令改正，处5万元以上6万元以下的罚款；拒不改正的，责令停工整治。</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240" w:hRule="atLeast"/>
          <w:jc w:val="center"/>
        </w:trPr>
        <w:tc>
          <w:tcPr>
            <w:tcW w:w="566" w:type="dxa"/>
            <w:gridSpan w:val="2"/>
            <w:vMerge w:val="continue"/>
            <w:tcBorders>
              <w:tl2br w:val="nil"/>
              <w:tr2bl w:val="nil"/>
            </w:tcBorders>
            <w:vAlign w:val="center"/>
          </w:tcPr>
          <w:p>
            <w:pPr>
              <w:pStyle w:val="29"/>
              <w:widowControl/>
              <w:numPr>
                <w:ilvl w:val="1"/>
                <w:numId w:val="7"/>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（1）建筑工程存在上述6项以上情形,造成严重扬尘污染的（2）拒不改正或经整改后再次出现扬尘污染的。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违反其中6项以上的，责令改正，处6万元以上10万元以下的罚款；拒不改正的，责令停工整治;（2）经整改后再次出现扬尘污染，责令改正，处6万元以上10万元以下的罚款；拒不改正的，责令停工整治;（3）拒不改正，责令停工整治，处6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716"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497</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施工单位未按照工地扬尘污染防治方案的要求，在施工现场出入口公示扬尘污染控制措施、负责人、环保监督员、扬尘监管主管部门等有关信息，接受社会监督，并未采取下列扬尘污染防治措施的：(1)拆除作业实行持续加压洒水或者喷淋方式作业；(2)建筑物拆除后，拆除物应当及时清运，不能及时清运的，应当采取有效覆盖措施；(3)建筑物拆除后，场地闲置三个月以上的，用地单位对拆除后的裸露地面采取绿化等防尘措施；(4)启动Ⅲ级(黄色)预警或气象预报风速达到四级以上时，不得进行土方挖填、转运和拆除等易产生扬尘的作业</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《安徽省大气污染防治条例》第六十二条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《安徽省大气污染防治条例》第八十九条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六十二条规定，施工单位未采取扬尘污染防治措施，或者违反本条例第六十三条第一款规定，生产预拌混凝土、预拌砂浆未采取密闭、围挡、洒水、冲洗等防尘措施的，由县级以上人民政府住房和城乡建设部门责令改正，处以二万元以上十万元以下罚款；拒不改正的，责令停工整治。</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拆除工程存在以下情形之一，造成轻度扬尘污染的：（1）拆除现场无围挡，主出入口无扬尘防治公示牌、市政道路受拆除垃圾污染明显的；（2）拆除作业时未实行持续加压洒水或喷淋方式作业的；（3）建筑物拆除后，拆除物未能及时清运且未采取有效覆盖，装运拆除垃圾未采用降尘措施造成明显扬尘污染的；（4）建筑物拆除后，场地闲置三个月以上的，用地单位未对拆除后的裸露地面采取铺装、绿化等防尘措施的；（5）当启动Ⅲ级（黄色）预警或气象预报风速达到四级以上时，进行拆除和转运作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责令改正，处2万元的罚款；拒不改正的，责令停工整治。</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1"/>
                <w:numId w:val="8"/>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拆除工程存在上述2项情形，造成扬尘污染的。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责令改正，处2万元以上4万元以下的罚款；拒不改正的，责令停工整治。</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1"/>
                <w:numId w:val="8"/>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拆除工程存在上述3项以上情形,造成严重扬尘污染的。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（1）违反其中3项的，责令改正，处4万元以上6万元以下的罚款；拒不改正的，责令停工整治;（2）违反4项以上的，责令改正，处6万元以上10万元以下的罚款；拒不改正的，责令停工整治。</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498</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生产预拌混凝土、预拌砂浆未采取密闭、围挡、洒水、冲洗等防尘措施的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《安徽省大气污染防治条例》第六十三条第一款</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《安徽省大气污染防治条例》第八十九条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六十二条规定，施工单位未采取扬尘污染防治措施，或者违反本条例第六十三条第一款规定，生产预拌混凝土、预拌砂浆未采取密闭、围挡、洒水、冲洗等防尘措施的，由县级以上人民政府住房和城乡建设部门责令改正，处以二万元以上十万元以下罚款；拒不改正的，责令停工整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生产预拌混凝土、预拌砂浆存在以下行为情形之一，造成轻度扬尘污染的：（1）生产预拌混凝土、预拌砂浆的场区未采用围墙封闭围挡，办公区、生活区和生产区未有效分隔，厂区缺少有组织排水的；（2）搅拌楼筒仓未封闭，筒仓未安装布袋等强制除尘设备、传送斜皮带未包封、进料口未密闭的；（3）配料仓未密封，砂石料场未建封闭式库房，封闭式库房未采用喷淋降尘措施的；（4）未建生产污水回收利用设施、未在场区出入口处设置车辆冲洗设施的；（5）场区未落实人工或机械洒水降尘措施，未配备场区专职保洁人员的；（6）企业所属砼罐车未安装卫星定位系统，未设置放大车牌号、车辆尾部未安装防遗撒设施，车辆外观不清洁的；（7）日常产生的废料乱堆乱倒，造成场区内外环境严重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责令改正，处2万元的罚款；拒不改正的，责令停工整治。</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1"/>
                <w:numId w:val="8"/>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生产预拌混凝土、预拌砂浆存在上述2-3项情形，造成扬尘污染的。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（1）违反其中2项的，责令改正，处2万元以上4万元以下的罚款；拒不改正的，责令停工整治;（2）违反上述其中3项的，责令改正，处4万元以上6万元以下的罚款；拒不改正的，责令停工整治。</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1"/>
                <w:numId w:val="8"/>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（1）生产预拌混凝土、预拌砂浆存在上述4项以上情形，造成严重扬尘污染的;（2）拒不改正或经整改后再次出现扬尘污染的。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违反4项以上的，责令改正，处6万元以上10万元以下的罚款；拒不改正的，责令停工整治;（2）经整改后再次出现扬尘污染，责令改正，处10万元的罚款；拒不改正的，责令停工整治;（3）拒不改正，责令停工整治，处10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499</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装卸和运输水泥、砂土、垃圾等易产生扬尘的作业，未采取遮盖、封闭、喷淋、围挡等措施，防止抛洒、扬尘的</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《安徽省大气污染防治条例》第六十四条第一款</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《安徽省大气污染防治条例》第九十条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六十四条第一款规定的，由县级以上人民政府环境保护行政主管部门或者其他依法行使监督管理权的部门责令停止违法行为，处以五千元以上二万元以下罚款。违反本条例第六十四条第二款规定的，由县级以上人民政府环境保护行政主管部门或者其他依法行使监督管理权的部门责令改正，处以五百元以上二千元以下罚款。 违反本条例第六十四条第三款规定的，由县级以上人民政府环境保护行政主管部门责令改正，处二万元以上十万元以下罚款；拒不改正的，责令停工整治或者停业整治。</w:t>
            </w:r>
          </w:p>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《安徽省大气污染防治条例》第九十七条</w:t>
            </w:r>
          </w:p>
          <w:p>
            <w:pPr>
              <w:widowControl/>
              <w:spacing w:line="240" w:lineRule="auto"/>
              <w:ind w:firstLine="105" w:firstLineChars="5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企业事业单位和其他生产经营者违反本条例第十六条、第十九条、第四十四条第一款、第四十五条、第六十四条、第七十三条第一款、第七十五条第一款，违法向大气排放污染物，受到罚款处罚，被责令改正，拒不改正的，依法作出处罚决定的行政机关可以自责令改正之日的次日起，按照原处罚数额按日连续处罚。</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未落实遮盖、封闭、喷淋、围挡等措施之一，造成轻度扬尘污染的。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责令停止违法行为，处5千元的罚款；违法向大气排放污染物，受到罚款处罚，被责令改正，拒不改正的，依法作出处罚决定的行政机关可以自责令改正之日的次日起，按照原处罚数额按日连续处罚。</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1"/>
                <w:numId w:val="8"/>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未落实遮盖、封闭、喷淋、围挡等措施2项，造成扬尘污染的。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停止违法行为，处5千元以上1万元以下的罚款；违法向大气排放污染物，受到罚款处罚，被责令改正，拒不改正的，依法作出处罚决定的行政机关可以自责令改正之日的次日起，按照原处罚数额按日连续处罚。</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1"/>
                <w:numId w:val="8"/>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（1）未落实遮盖、封闭、喷淋、围挡等措施3项以上，造成严重扬尘污染的;（2）拒不改正或经整改后再次出现扬尘污染的。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违反3项以上措施情形，责令停止违法行为，处1万元以上2万元以下的罚款；违法向大气排放污染物，受到罚款处罚，被责令改正，拒不改正的，依法作出处罚决定的行政机关可以自责令改正之日的次日起，按照原处罚数额按日连续处罚;（2）经整改后再次出现扬尘污染，责令停止违法行为，处1万元以上2万元以下的罚款；违法向大气排放污染物，受到罚款处罚，被责令改正，拒不改正的，依法作出处罚决定的行政机关可以自责令改正之日的次日起，按照原处罚数额按日连续处罚;（3）拒不改正，责令停止违法行为，处1万元以上2万元以下的罚款；违法向大气排放污染物，受到罚款处罚，被责令改正，拒不改正的，依法作出处罚决定的行政机关可以自责令改正之日的次日起，按照原处罚数额按日连续处罚。</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716"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500</w:t>
            </w:r>
          </w:p>
        </w:tc>
        <w:tc>
          <w:tcPr>
            <w:tcW w:w="1440"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运输垃圾、渣土、砂石、土方、灰浆等散装、流体物料的，未使用符合条件的车辆，车辆未安装卫星定位系统的</w:t>
            </w:r>
          </w:p>
          <w:p>
            <w:pPr>
              <w:widowControl/>
              <w:spacing w:line="240" w:lineRule="auto"/>
              <w:ind w:firstLine="210" w:firstLineChars="100"/>
              <w:jc w:val="left"/>
              <w:rPr>
                <w:rFonts w:ascii="仿宋_GB2312" w:hAnsi="宋体" w:eastAsia="仿宋_GB2312" w:cs="宋体"/>
                <w:color w:val="000000" w:themeColor="text1"/>
                <w:szCs w:val="21"/>
                <w14:textFill>
                  <w14:solidFill>
                    <w14:schemeClr w14:val="tx1"/>
                  </w14:solidFill>
                </w14:textFill>
              </w:rPr>
            </w:pPr>
          </w:p>
        </w:tc>
        <w:tc>
          <w:tcPr>
            <w:tcW w:w="1115" w:type="dxa"/>
            <w:gridSpan w:val="3"/>
            <w:vMerge w:val="restart"/>
            <w:tcBorders>
              <w:tl2br w:val="nil"/>
              <w:tr2bl w:val="nil"/>
            </w:tcBorders>
            <w:vAlign w:val="center"/>
          </w:tcPr>
          <w:p>
            <w:pPr>
              <w:widowControl/>
              <w:spacing w:line="240" w:lineRule="auto"/>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《安徽省大气污染防治条例》第六十四条第二款</w:t>
            </w:r>
          </w:p>
        </w:tc>
        <w:tc>
          <w:tcPr>
            <w:tcW w:w="4255"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《安徽省大气污染防治条例》第九十条</w:t>
            </w:r>
          </w:p>
          <w:p>
            <w:pPr>
              <w:widowControl/>
              <w:spacing w:line="240" w:lineRule="auto"/>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六十四条第一款规定的，由县级以上人民政府环境保护行政主管部门或者其他依法行使监督管理权的部门责令停止违法行为，处以五千元以上二万元以下罚款。违反本条例第六十四条第二款规定的，由县级以上人民政府环境保护行政主管部门或者其他依法行使监督管理权的部门责令改正，处以五百元以上二千元以下罚款。 违反本条例第六十四条第三款规定的，由县级以上人民政府环境保护行政主管部门责令改正，处二万元以上十万元以下罚款；拒不改正的，责令停工整治或者停业整治。</w:t>
            </w:r>
          </w:p>
          <w:p>
            <w:pPr>
              <w:widowControl/>
              <w:spacing w:line="240" w:lineRule="auto"/>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《安徽省大气污染防治条例》第九十七条</w:t>
            </w:r>
          </w:p>
          <w:p>
            <w:pPr>
              <w:widowControl/>
              <w:spacing w:line="240" w:lineRule="auto"/>
              <w:ind w:firstLine="105" w:firstLineChars="5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企业事业单位和其他生产经营者违反本条例第十六条、第十九条、第四十四条第一款、第四十五条、第六十四条、第七十三条第一款、第七十五条第一款，违法向大气排放污染物，受到罚款处罚，被责令改正，拒不改正的，依法作出处罚决定的行政机关可以自责令改正之日的次日起，按照原处罚数额按日连续处罚。</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初次违法，造成轻度扬尘污染的。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责令改正，处5百元的罚款；违法向大气排放污染物，受到罚款处罚，被责令改正，拒不改正的，依法作出处罚决定的行政机关可以自责令改正之日的次日起，按照原处罚数额按日连续处罚。</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1"/>
                <w:numId w:val="8"/>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不具备从轻、从重情形的。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责令改正，处5百元以上1千元以下的罚款；违法向大气排放污染物，受到罚款处罚，被责令改正，拒不改正的，依法作出处罚决定的行政机关可以自责令改正之日的次日起，按照原处罚数额按日连续处罚。</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1"/>
                <w:numId w:val="8"/>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jc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ind w:firstLine="210" w:firstLineChars="100"/>
              <w:jc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ind w:firstLine="210" w:firstLineChars="100"/>
              <w:jc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（1）车辆严重不符合条件，且未安装数据化监管或卫星定位系统的；（2）拒不改正或经整改后再次出现扬尘污染的；（3）被责令改正、已被处以二千元以下罚款后仍未整改的；（4）其他违法从重情形的。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责令改正，处1千元以上2千元以下的罚款；违法向大气排放污染物，受到罚款处罚，被责令改正，拒不改正的，依法作出处罚决定的行政机关可以自责令改正之日的次日起，按照原处罚数额按日连续处罚。</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501</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建筑土方、工程渣土、建筑垃圾未及时运输且未到指定场所进行处置；在场地内堆存的，未进行有效覆盖；易产生扬尘的建筑材料采取封闭运输；建筑垃圾运输、处理时，按照城市人民政府市容环境卫生行政主管部门规定的时间、路线和要求，清运到指定的场所处理的</w:t>
            </w:r>
          </w:p>
        </w:tc>
        <w:tc>
          <w:tcPr>
            <w:tcW w:w="1115"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《安徽省大气污染防治条例》第六十二条、第六十四条第三款</w:t>
            </w:r>
          </w:p>
        </w:tc>
        <w:tc>
          <w:tcPr>
            <w:tcW w:w="4255"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《安徽省大气污染防治条例》第八十九条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六十二条规定，施工单位未采取扬尘污染防治措施，或者违反本条例第六十三条第一款规定，生产预拌混凝土、预拌砂浆未采取密闭、围挡、洒水、冲洗等防尘措施的，由县级以上人民政府住房和城乡建设部门责令改正，处以二万元以上十万元以下罚款；拒不改正的，责令停工整治。</w:t>
            </w:r>
          </w:p>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《安徽省大气污染防治条例》第九十条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六十四条第一款规定的，由县级以上人民政府环境保护行政主管部门或者其他依法行使监督管理权的部门责令停止违法行为，处以五千元以上二万元以下罚款。违反本条例第六十四条第二款规定的，由县级以上人民政府环境保护行政主管部门或者其他依法行使监督管理权的部门责令改正，处以五百元以上二千元以下罚款。 违反本条例第六十四条第三款规定的，由县级以上人民政府环境保护行政主管部门责令改正，处二万元以上十万元以下罚款；拒不改正的，责令停工整治或者停业整治。</w:t>
            </w:r>
          </w:p>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《安徽省大气污染防治条例》第九十七条</w:t>
            </w:r>
          </w:p>
          <w:p>
            <w:pPr>
              <w:widowControl/>
              <w:spacing w:line="240" w:lineRule="auto"/>
              <w:ind w:firstLine="105" w:firstLineChars="5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企业事业单位和其他生产经营者违反本条例第十六条、第十九条、第四十四条第一款、第四十五条、第六十四条、第七十三条第一款、第七十五条第一款，违法向大气排放污染物，受到罚款处罚，被责令改正，拒不改正的，依法作出处罚决定的行政机关可以自责令改正之日的次日起，按照原处罚数额按日连续处罚。</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建筑土方、工程渣土、建筑垃圾运输、处置时及处置场所存在以下情形之一，造成轻度扬尘污染的:（1）企业所属车辆未全部安装卫星定位系统，车厢后挡板未设置放大字牌、车厢未采用密闭措施，车辆外观不清洁的；（2）施工工地建筑渣土、垃圾运输期间，主出入口未悬挂建筑渣土处置扬尘污染监督公示牌的；（3）未按照城管局规定的时间、路线运输建筑渣土、垃圾的，未在指定的场所处置的； （4）因运输建筑渣土、垃圾造成工地出入口市政道路污染的；（5）建筑渣土、垃圾运输车辆未经冲洗上路，超载装运渣土、垃圾，车身不洁净的；（6）社会及其他车辆进出工地造成工地出入口市政道路污染的；（7）处置场内的建筑渣土、垃圾未分类堆放，堆场未采取覆盖的；（8）当启动Ⅲ级（黄色）预警或气象预报风速达到四级以上时，进行渣土装卸和运输作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2万元的罚款；拒不改正的，责令停工整治或停业整治；违法向大气排放污染物，受到罚款处罚，被责令改正，拒不改正的，依法作出处罚决定的行政机关可以自责令改正之日的次日起，按照原处罚数额按日连续处罚。</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1"/>
                <w:numId w:val="8"/>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建筑土方、工程渣土、建筑垃圾运输、处置时及处置场所存在上述2-3项情形，造成扬尘污染的。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违反其中2项的，责令改正，处2万元以上4万元以下的罚款；拒不改正的，责令停工整治或停业整治；违法向大气排放污染物，受到罚款处罚，被责令改正，拒不改正的，依法作出处罚决定的行政机关可以自责令改正之日的次日起，按照原处罚数额按日连续处罚;（2）违反其中3项的，责令改正，处4万元以上6万元以下的罚款；拒不改正的，责令停工整治或停业整治；违法向大气排放污染物，受到罚款处罚，被责令改正，拒不改正的，依法作出处罚决定的行政机关可以自责令改正之日的次日起，按照原处罚数额按日连续处罚。</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1"/>
                <w:numId w:val="8"/>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建筑土方、工程渣土、建筑垃圾运输、处置时及处置场所违反上述4项以上情形，造成严重扬尘污染的；（2）拒不改正或经整改后再次出现扬尘污染的；（3）被责令改正，已被处以十万元以下罚款后仍未改正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违反4项以上的，责令改正，处6万元以上10万元以下的罚款；拒不改正的，责令停工整治或停业整治；违法向大气排放污染物，受到罚款处罚，被责令改正，拒不改正的，依法作出处罚决定的行政机关可以自责令改正之日的次日起，按照原处罚数额按日连续处罚;（2）经整改后再次出现扬尘污染的，处6万元以上10万元以下的罚款；拒不改正的，责令停工整治或停业整治；违法向大气排放污染物，受到罚款处罚，被责令改正，拒不改正的，依法作出处罚决定的行政机关可以自责令改正之日的次日起，按照原处罚数额按日连续处罚;（3）拒不改正的，责令停工整治或停业整治，处6万元以上10万元以下的罚款；违法向大气排放污染物，受到罚款处罚，被责令改正，拒不改正的，依法作出处罚决定的行政机关可以自责令改正之日的次日起，按照原处罚数额按日连续处罚;（4）被责令改正，已被处以10万元以下罚款后仍未改正的，责令停工整治或停业整治，处10万元的罚款；违法向大气排放污染物，受到罚款处罚，被责令改正，拒不改正的，依法作出处罚决定的行政机关可以自责令改正之日的次日起，按照原处罚数额按日连续处罚。</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502</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建设单位未对暂时不能开工的建设用地的裸露地面进行覆盖，或者未对超过三个月不能开工的建设用地的裸露地面进行绿化、铺装或者遮盖的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《中华人民共和国大气污染防治法》第六十九条</w:t>
            </w:r>
          </w:p>
        </w:tc>
        <w:tc>
          <w:tcPr>
            <w:tcW w:w="4255"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《中华人民共和国大气污染防治法》第一百一十五条</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施工单位有下列行为之一的，由县级以上人民政府住房城乡建设等主管部门按照职责责令改正，处一万元以上十万元以下的罚款；拒不改正的，责令停工整治：（一）施工工地未设置硬质围挡，或者未采取覆盖、分段作业、择时施工、洒水抑尘、冲洗地面和车辆等有效防尘降尘措施的；（二）建筑土方、工程渣土、建筑垃圾未及时清运，或者未采用密闭式防尘网遮盖的。</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对暂时不能开工的建设用地的裸露地面进行部分覆盖，或者对超过三个月不能开工的建设用地的裸露地面进行部分绿化、铺装或者遮盖，造成轻度扬尘污染的。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处1万元以上3万元以下的罚款。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1"/>
                <w:numId w:val="8"/>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对暂时不能开工的建设用地的裸露地面未进行覆盖，或者对超过三个月不能开工的建设用地的裸露地面未进行绿化、铺装或者遮盖，造成扬尘污染的。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处3万元以上5万元以下的罚款。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1"/>
                <w:numId w:val="8"/>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对暂时不能开工的建设用地的裸露地面未进行覆盖，或者对超过三个月不能开工的建设用地的裸露地面未进行绿化、铺装或者遮盖，造成严重扬尘污染的；（2）拒不改正或经整改后再次出现扬尘污染的；（3）被责令改正，已被处以十万元以下罚款后仍未改正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65"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503</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城镇污水处理设施维护运营单位或者污泥处理单位对污泥流向、用途、用量等未进行跟踪、记录，或者处理后的污泥不符合国家有关标准的</w:t>
            </w:r>
          </w:p>
          <w:p>
            <w:pPr>
              <w:widowControl/>
              <w:spacing w:line="240" w:lineRule="auto"/>
              <w:ind w:firstLine="420" w:firstLineChars="200"/>
              <w:rPr>
                <w:rFonts w:ascii="仿宋_GB2312" w:hAnsi="宋体" w:eastAsia="仿宋_GB2312" w:cs="宋体"/>
                <w:color w:val="000000" w:themeColor="text1"/>
                <w:szCs w:val="21"/>
                <w14:textFill>
                  <w14:solidFill>
                    <w14:schemeClr w14:val="tx1"/>
                  </w14:solidFill>
                </w14:textFill>
              </w:rPr>
            </w:pP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《中华人民共和国固体废物污染环境防治法》第七十一条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《中华人民共和国固体废物污染环境防治法》第一百零八条第一款</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013"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造成严重危害后果，不具有从重情形的。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责令改正，给予警告；</w:t>
            </w:r>
            <w:r>
              <w:rPr>
                <w:rFonts w:hint="eastAsia" w:ascii="仿宋_GB2312" w:hAnsi="宋体" w:eastAsia="仿宋_GB2312" w:cs="宋体"/>
                <w:color w:val="000000" w:themeColor="text1"/>
                <w:kern w:val="0"/>
                <w:szCs w:val="21"/>
                <w14:textFill>
                  <w14:solidFill>
                    <w14:schemeClr w14:val="tx1"/>
                  </w14:solidFill>
                </w14:textFill>
              </w:rPr>
              <w:t>处10万元以上15万元以下罚款。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859"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（1）造成严重危害后果，经责令停止违法行为后，继续实施违法行为的；（2）造成严重危害后果，曾因此被查处过，再次实施违法行为的。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责令改正，给予警告；</w:t>
            </w:r>
            <w:r>
              <w:rPr>
                <w:rFonts w:hint="eastAsia" w:ascii="仿宋_GB2312" w:hAnsi="宋体" w:eastAsia="仿宋_GB2312" w:cs="宋体"/>
                <w:color w:val="000000" w:themeColor="text1"/>
                <w:kern w:val="0"/>
                <w:szCs w:val="21"/>
                <w14:textFill>
                  <w14:solidFill>
                    <w14:schemeClr w14:val="tx1"/>
                  </w14:solidFill>
                </w14:textFill>
              </w:rPr>
              <w:t>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092"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504</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擅自倾倒、堆放、丢弃、遗撒城镇污水处理设施产生的污泥和处理后的污泥的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《中华人民共和国固体废物污染环境防治法》第七十二条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《中华人民共和国固体废物污染环境防治法》第一百零八条第二款</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责令改正，处20万元以上100万元以下的罚款，对直接负责的主管人员和其他直接责任人员处2万元以上5万元以下的罚款。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196"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责令改正，处100万元以上200万元以下的罚款，对直接负责的主管人员和其他直接责任人员处5万元以上10万元以下的罚款。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826"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责令改正，处200万元以上350万元以下的罚款，对直接负责的主管人员和其他直接责任人员处10万元以上30万元以下的罚款。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826"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（1）造成严重危害后果，且经责令停止违法行为后，继续实施违法行为的；（2）造成严重危害后果，且曾因此被查处过，再次实施违法行为的。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责令改正，处350万元以上500万元以下的罚款，对直接负责的主管人员和其他直接责任人员处30万元以上50万元以下的罚款。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431"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505</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随意倾倒、抛撒、堆放或者焚烧生活垃圾的</w:t>
            </w:r>
          </w:p>
          <w:p>
            <w:pPr>
              <w:widowControl/>
              <w:spacing w:line="240" w:lineRule="auto"/>
              <w:ind w:firstLine="420" w:firstLineChars="200"/>
              <w:rPr>
                <w:rFonts w:ascii="仿宋_GB2312" w:hAnsi="宋体" w:eastAsia="仿宋_GB2312" w:cs="宋体"/>
                <w:color w:val="000000" w:themeColor="text1"/>
                <w:szCs w:val="21"/>
                <w14:textFill>
                  <w14:solidFill>
                    <w14:schemeClr w14:val="tx1"/>
                  </w14:solidFill>
                </w14:textFill>
              </w:rPr>
            </w:pP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《中华人民共和国固体废物污染环境防治法》第四十九条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《中华人民共和国固体废物污染环境防治法》第一百一十一条第一款第一项、第一百一十一条第二款</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倾倒、抛洒、堆放或者焚烧生活垃圾1吨以下的。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对单位处以5万元罚款，对个人处以100元罚款，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74"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倾倒、抛洒、堆放或者焚烧生活垃圾1吨以上3吨以下的。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对单位处以5万元以上10万元以下罚款，对个人处以150元罚款，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07"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倾倒、抛洒、堆放或者焚烧生活垃圾3吨以上5吨以下的。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对单位处以10万元以上20万元以下罚款，对个人处以200元罚款，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88"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倾倒、抛洒、堆放或者焚烧生活垃圾5吨以上7吨以下的。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对单位处以20万元以上30万元以下罚款，对个人处以300元罚款，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27"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倾倒、抛洒、堆放或者焚烧生活垃圾7吨以上9吨以下的。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对单位处以30万元以上40万元以下罚款，对个人处以400元罚款，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320"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倾倒、抛洒、堆放或者焚烧生活垃圾9吨以上的。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对单位处以40万元以上50万元以下罚款，对个人处以500元罚款，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506</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擅自关闭、闲置或者拆除生活垃圾处理设施、场所的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《中华人民共和国固体废物污染环境防治法》第五十五条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《中华人民共和国固体废物污染环境防治法》第一百一十一条第一款第二项、第一百一十一条第二款</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未经批准擅自关闭、闲置城市生活垃圾处置设施、场所1日以内的。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责令改正，对单位处以10万元以上20万元以下罚款，没收违法所得。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96"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未经批准擅自关闭、闲置城市生活垃圾处置设施、场所1日以上3日以下的。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责令改正，对单位处以20万元以上30万元以下罚款，没收违法所得。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10"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未经批准擅自关闭、闲置城市生活垃圾处置设施、场所3日以上5日以下的。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责令改正，对单位处以30万元以上40万元以下罚款，没收违法所得。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39"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未经批准擅自关闭、闲置城市生活垃圾处置设施、场所5日以上7日以下的。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责令改正，对单位处以40万元以上50万元以下罚款，没收违法所得。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39"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105" w:firstLineChars="5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未经批准擅自关闭、闲置城市生活垃圾处置设施、场所7日以上9日以下的。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责令改正，对单位处以50万元以上60万元以下罚款，没收违法所得。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10"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未经批准擅自关闭、闲置城市生活垃圾处置设施、场所9日以上11日以下的。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责令改正，对单位处以60万元以上70万元以下罚款，没收违法所得。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92"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未经批准擅自关闭、闲置城市生活垃圾处置设施、场所11日以上13日以下的。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责令改正，对单位处以70万元以上80万元以下罚款，没收违法所得。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05"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未经批准擅自关闭、闲置城市生活垃圾处置设施、场所13日以上15日以下的。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责令改正，对单位处以80万元以上90万元以下罚款，没收违法所得。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38"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未经批准擅自关闭、闲置城市生活垃圾处置设施、场所15日以上的。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责令改正，对单位处以90万元以上100万元以下罚款，没收违法所得。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953"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507</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工程施工单位未编制建筑垃圾处理方案报备案的</w:t>
            </w:r>
          </w:p>
          <w:p>
            <w:pPr>
              <w:widowControl/>
              <w:spacing w:line="240" w:lineRule="auto"/>
              <w:ind w:firstLine="420" w:firstLineChars="200"/>
              <w:rPr>
                <w:rFonts w:ascii="仿宋_GB2312" w:hAnsi="宋体" w:eastAsia="仿宋_GB2312" w:cs="宋体"/>
                <w:color w:val="000000" w:themeColor="text1"/>
                <w:szCs w:val="21"/>
                <w14:textFill>
                  <w14:solidFill>
                    <w14:schemeClr w14:val="tx1"/>
                  </w14:solidFill>
                </w14:textFill>
              </w:rPr>
            </w:pP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《中华人民共和国固体废物污染环境防治法》第六十三条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《中华人民共和国固体废物污染环境防治法》第一百一十一条第一款第三项、第一百一十一条第二款</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对单位处10万元以上40万元以下的罚款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672"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对单位处40万元以上70万元以下的罚款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720"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（1）经责令改正后，仍不</w:t>
            </w:r>
            <w:r>
              <w:rPr>
                <w:rFonts w:hint="eastAsia" w:ascii="仿宋_GB2312" w:hAnsi="宋体" w:eastAsia="仿宋_GB2312" w:cs="宋体"/>
                <w:color w:val="000000" w:themeColor="text1"/>
                <w:szCs w:val="21"/>
                <w14:textFill>
                  <w14:solidFill>
                    <w14:schemeClr w14:val="tx1"/>
                  </w14:solidFill>
                </w14:textFill>
              </w:rPr>
              <w:t>编制建筑垃圾处理方案报备案</w:t>
            </w:r>
            <w:r>
              <w:rPr>
                <w:rFonts w:hint="eastAsia" w:ascii="仿宋_GB2312" w:hAnsi="宋体" w:eastAsia="仿宋_GB2312" w:cs="宋体"/>
                <w:color w:val="000000" w:themeColor="text1"/>
                <w:kern w:val="0"/>
                <w:szCs w:val="21"/>
                <w14:textFill>
                  <w14:solidFill>
                    <w14:schemeClr w14:val="tx1"/>
                  </w14:solidFill>
                </w14:textFill>
              </w:rPr>
              <w:t>的；（2）曾因实施该违法行为被查处，再次实施该违法行为的；（3）造成重大社会影响或危害后果的。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对单位处70万元以上100万元以下的罚款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67"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508</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工程施工单位未及时清运施工过程中产生的固体废物的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《中华人民共和国固体废物污染环境防治法》第六十三条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《中华人民共和国固体废物污染环境防治法》第一百一十一条第一款第三项、第一百一十一条第二款</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施工过程中产生的固体废物2</w:t>
            </w:r>
            <w:r>
              <w:rPr>
                <w:rFonts w:hint="eastAsia" w:ascii="仿宋_GB2312" w:hAnsi="宋体" w:eastAsia="仿宋_GB2312" w:cs="宋体"/>
                <w:color w:val="000000" w:themeColor="text1"/>
                <w:kern w:val="0"/>
                <w:szCs w:val="21"/>
                <w14:textFill>
                  <w14:solidFill>
                    <w14:schemeClr w14:val="tx1"/>
                  </w14:solidFill>
                </w14:textFill>
              </w:rPr>
              <w:t>0吨以下的。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责令改正，对单位处以10万元以上20万元以下罚款，没收违法所得。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68"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施工过程中产生的固体废物2</w:t>
            </w:r>
            <w:r>
              <w:rPr>
                <w:rFonts w:hint="eastAsia" w:ascii="仿宋_GB2312" w:hAnsi="宋体" w:eastAsia="仿宋_GB2312" w:cs="宋体"/>
                <w:color w:val="000000" w:themeColor="text1"/>
                <w:kern w:val="0"/>
                <w:szCs w:val="21"/>
                <w14:textFill>
                  <w14:solidFill>
                    <w14:schemeClr w14:val="tx1"/>
                  </w14:solidFill>
                </w14:textFill>
              </w:rPr>
              <w:t>0吨以上30吨以下的。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责令改正，对单位处以20万元以上30万元以下罚款，没收违法所得。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17"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施工过程中产生的固体废物3</w:t>
            </w:r>
            <w:r>
              <w:rPr>
                <w:rFonts w:hint="eastAsia" w:ascii="仿宋_GB2312" w:hAnsi="宋体" w:eastAsia="仿宋_GB2312" w:cs="宋体"/>
                <w:color w:val="000000" w:themeColor="text1"/>
                <w:kern w:val="0"/>
                <w:szCs w:val="21"/>
                <w14:textFill>
                  <w14:solidFill>
                    <w14:schemeClr w14:val="tx1"/>
                  </w14:solidFill>
                </w14:textFill>
              </w:rPr>
              <w:t>0吨以上40吨以下的。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责令改正，对单位处以30万元以上40万元以下罚款，没收违法所得。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continue"/>
            <w:tcBorders>
              <w:tl2br w:val="nil"/>
              <w:tr2bl w:val="nil"/>
            </w:tcBorders>
            <w:vAlign w:val="center"/>
          </w:tcPr>
          <w:p>
            <w:pPr>
              <w:pStyle w:val="29"/>
              <w:numPr>
                <w:ilvl w:val="0"/>
                <w:numId w:val="8"/>
              </w:numPr>
              <w:spacing w:line="240" w:lineRule="auto"/>
              <w:ind w:firstLineChars="0"/>
              <w:jc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spacing w:line="240" w:lineRule="auto"/>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spacing w:line="240" w:lineRule="auto"/>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spacing w:line="240" w:lineRule="auto"/>
              <w:rPr>
                <w:rFonts w:ascii="仿宋_GB2312" w:hAnsi="宋体" w:eastAsia="仿宋_GB2312" w:cs="宋体"/>
                <w:color w:val="000000" w:themeColor="text1"/>
                <w:szCs w:val="21"/>
                <w14:textFill>
                  <w14:solidFill>
                    <w14:schemeClr w14:val="tx1"/>
                  </w14:solidFill>
                </w14:textFill>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施工过程中产生的固体废物4</w:t>
            </w:r>
            <w:r>
              <w:rPr>
                <w:rFonts w:hint="eastAsia" w:ascii="仿宋_GB2312" w:hAnsi="宋体" w:eastAsia="仿宋_GB2312" w:cs="宋体"/>
                <w:color w:val="000000" w:themeColor="text1"/>
                <w:kern w:val="0"/>
                <w:szCs w:val="21"/>
                <w14:textFill>
                  <w14:solidFill>
                    <w14:schemeClr w14:val="tx1"/>
                  </w14:solidFill>
                </w14:textFill>
              </w:rPr>
              <w:t>0吨以上50吨以下的。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责令改正，对单位处以40万元以上50万元以下罚款，没收违法所得。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68"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施工过程中产生的固体废物5</w:t>
            </w:r>
            <w:r>
              <w:rPr>
                <w:rFonts w:hint="eastAsia" w:ascii="仿宋_GB2312" w:hAnsi="宋体" w:eastAsia="仿宋_GB2312" w:cs="宋体"/>
                <w:color w:val="000000" w:themeColor="text1"/>
                <w:kern w:val="0"/>
                <w:szCs w:val="21"/>
                <w14:textFill>
                  <w14:solidFill>
                    <w14:schemeClr w14:val="tx1"/>
                  </w14:solidFill>
                </w14:textFill>
              </w:rPr>
              <w:t>0吨以上60吨以下的。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责令改正，对单位处以50万元以上60万元以下罚款，没收违法所得。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940"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施工过程中产生的固体废物6</w:t>
            </w:r>
            <w:r>
              <w:rPr>
                <w:rFonts w:hint="eastAsia" w:ascii="仿宋_GB2312" w:hAnsi="宋体" w:eastAsia="仿宋_GB2312" w:cs="宋体"/>
                <w:color w:val="000000" w:themeColor="text1"/>
                <w:kern w:val="0"/>
                <w:szCs w:val="21"/>
                <w14:textFill>
                  <w14:solidFill>
                    <w14:schemeClr w14:val="tx1"/>
                  </w14:solidFill>
                </w14:textFill>
              </w:rPr>
              <w:t>0吨以上70吨以下的。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责令改正，对单位处以60万元以上70万元以下罚款，没收违法所得。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continue"/>
            <w:tcBorders>
              <w:tl2br w:val="nil"/>
              <w:tr2bl w:val="nil"/>
            </w:tcBorders>
            <w:vAlign w:val="center"/>
          </w:tcPr>
          <w:p>
            <w:pPr>
              <w:pStyle w:val="29"/>
              <w:numPr>
                <w:ilvl w:val="0"/>
                <w:numId w:val="8"/>
              </w:numPr>
              <w:spacing w:line="240" w:lineRule="auto"/>
              <w:ind w:firstLineChars="0"/>
              <w:jc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spacing w:line="240" w:lineRule="auto"/>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spacing w:line="240" w:lineRule="auto"/>
              <w:rPr>
                <w:rFonts w:ascii="仿宋_GB2312" w:hAnsi="宋体" w:eastAsia="仿宋_GB2312" w:cs="宋体"/>
                <w:color w:val="000000" w:themeColor="text1"/>
                <w:kern w:val="0"/>
                <w:szCs w:val="21"/>
                <w14:textFill>
                  <w14:solidFill>
                    <w14:schemeClr w14:val="tx1"/>
                  </w14:solidFill>
                </w14:textFill>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施工过程中产生的固体废物7</w:t>
            </w:r>
            <w:r>
              <w:rPr>
                <w:rFonts w:hint="eastAsia" w:ascii="仿宋_GB2312" w:hAnsi="宋体" w:eastAsia="仿宋_GB2312" w:cs="宋体"/>
                <w:color w:val="000000" w:themeColor="text1"/>
                <w:kern w:val="0"/>
                <w:szCs w:val="21"/>
                <w14:textFill>
                  <w14:solidFill>
                    <w14:schemeClr w14:val="tx1"/>
                  </w14:solidFill>
                </w14:textFill>
              </w:rPr>
              <w:t>0吨以上80吨以下的。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责令改正，对单位处以70万元以上80万元以下罚款，没收违法所得。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87"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施工过程中产生的固体废物8</w:t>
            </w:r>
            <w:r>
              <w:rPr>
                <w:rFonts w:hint="eastAsia" w:ascii="仿宋_GB2312" w:hAnsi="宋体" w:eastAsia="仿宋_GB2312" w:cs="宋体"/>
                <w:color w:val="000000" w:themeColor="text1"/>
                <w:kern w:val="0"/>
                <w:szCs w:val="21"/>
                <w14:textFill>
                  <w14:solidFill>
                    <w14:schemeClr w14:val="tx1"/>
                  </w14:solidFill>
                </w14:textFill>
              </w:rPr>
              <w:t>0吨以上90吨以下的。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责令改正，对单位处以80万元以上90万元以下罚款，没收违法所得。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26"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施工过程中产生的固体废物9</w:t>
            </w:r>
            <w:r>
              <w:rPr>
                <w:rFonts w:hint="eastAsia" w:ascii="仿宋_GB2312" w:hAnsi="宋体" w:eastAsia="仿宋_GB2312" w:cs="宋体"/>
                <w:color w:val="000000" w:themeColor="text1"/>
                <w:kern w:val="0"/>
                <w:szCs w:val="21"/>
                <w14:textFill>
                  <w14:solidFill>
                    <w14:schemeClr w14:val="tx1"/>
                  </w14:solidFill>
                </w14:textFill>
              </w:rPr>
              <w:t>0吨以上的。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责令改正，对单位处以90万元以上100万元以下罚款，没收违法所得。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47"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509</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工程施工单位擅自倾倒、抛撒或者堆放工程施工过程中产生的建筑垃圾的</w:t>
            </w:r>
          </w:p>
          <w:p>
            <w:pPr>
              <w:widowControl/>
              <w:spacing w:line="240" w:lineRule="auto"/>
              <w:ind w:firstLine="420" w:firstLineChars="200"/>
              <w:rPr>
                <w:rFonts w:ascii="仿宋_GB2312" w:hAnsi="宋体" w:eastAsia="仿宋_GB2312" w:cs="宋体"/>
                <w:color w:val="000000" w:themeColor="text1"/>
                <w:szCs w:val="21"/>
                <w14:textFill>
                  <w14:solidFill>
                    <w14:schemeClr w14:val="tx1"/>
                  </w14:solidFill>
                </w14:textFill>
              </w:rPr>
            </w:pP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《中华人民共和国固体废物污染环境防治法》第六十三条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《中华人民共和国固体废物污染环境防治法》第一百一十一条第一款第四项、第一百一十一条第二款</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擅自倾倒、抛撒、堆放建筑垃圾20立方米以下的。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责令改正，对单位处以10万元以上20万元以下罚款，没收违法所得。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889"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擅自倾倒、抛撒、堆放建筑垃圾20立方米以上30立方米以下的。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责令改正，对单位处以20万元以上30万元以下罚款，没收违法所得。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055"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擅自倾倒、抛撒、堆放建筑垃圾30立方米以上40立方米以下的。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责令改正，对单位处以30万元以上40万元以下罚款，没收违法所得。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070"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擅自倾倒、抛撒、堆放建筑垃圾40立方米以上50立方米以下的。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责令改正，对单位处以40万元以上50万元以下罚款，没收违法所得。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050"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擅自倾倒、抛撒、堆放建筑垃圾50立方米以上60立方米以下的。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责令改正，对单位处以50万元以上60万元以下罚款，没收违法所得。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939"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擅自倾倒、抛撒、堆放建筑垃圾60立方米以上70立方米以下的。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责令改正，对单位处以60万元以上70万元以下罚款，没收违法所得。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029"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擅自倾倒、抛撒、堆放建筑垃圾70立方米以上80立方米以下的。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责令改正，对单位处以70万元以上80万元以下罚款，没收违法所得。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915"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擅自倾倒、抛撒、堆放建筑垃圾80立方米以上90立方米以下的。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责令改正，对单位处以80万元以上90万元以下罚款，没收违法所得。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840"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擅自倾倒、抛撒、堆放建筑垃圾90立方米以上的。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责令改正，对单位处以90万元以上100万元以下罚款，没收违法所得。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2911"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510</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工程施工单位未按照规定对施工过程中产生的固体废物进行利用或者处置的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《中华人民共和国固体废物污染环境防治法》第六十三条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《中华人民共和国固体废物污染环境防治法》第一百一十一条第一款第四项、第一百一十一条第二款</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对单位处10万元以上40万元以下的罚款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587"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对单位处40万元以上70万元以下的罚款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47"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（1）经责令改正后，仍未按照规定对施工过程中产生的固体废物进行利用或者处置的；（2）曾因实施该违法行为被查处，再次实施该违法行为的；（3）造成重大社会影响或危害后果的。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对单位处70万元以上100万元以下的罚款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982"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511</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产生、收集厨余垃圾的单位和其他生产经营者未将厨余垃圾交由具备相应资质条件的单位进行无害化处理的</w:t>
            </w:r>
          </w:p>
          <w:p>
            <w:pPr>
              <w:widowControl/>
              <w:spacing w:line="240" w:lineRule="auto"/>
              <w:ind w:firstLine="420" w:firstLineChars="200"/>
              <w:rPr>
                <w:rFonts w:ascii="仿宋_GB2312" w:hAnsi="宋体" w:eastAsia="仿宋_GB2312" w:cs="宋体"/>
                <w:color w:val="000000" w:themeColor="text1"/>
                <w:szCs w:val="21"/>
                <w14:textFill>
                  <w14:solidFill>
                    <w14:schemeClr w14:val="tx1"/>
                  </w14:solidFill>
                </w14:textFill>
              </w:rPr>
            </w:pP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《中华人民共和国固体废物污染环境防治法》第五十七条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《中华人民共和国固体废物污染环境防治法》第一百一十一条第一款第五项、第一百一十一条第二款</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未交由具备相应资质条件的单位进行无害化处理的厨余垃圾2</w:t>
            </w:r>
            <w:r>
              <w:rPr>
                <w:rFonts w:hint="eastAsia" w:ascii="仿宋_GB2312" w:hAnsi="宋体" w:eastAsia="仿宋_GB2312" w:cs="宋体"/>
                <w:color w:val="000000" w:themeColor="text1"/>
                <w:kern w:val="0"/>
                <w:szCs w:val="21"/>
                <w14:textFill>
                  <w14:solidFill>
                    <w14:schemeClr w14:val="tx1"/>
                  </w14:solidFill>
                </w14:textFill>
              </w:rPr>
              <w:t>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责令改正，对单位处以10万元以上20万元以下罚款，对个人处100元罚款，没收违法所得。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25"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未交由具备相应资质条件的单位进行无害化处理的厨余垃圾2</w:t>
            </w:r>
            <w:r>
              <w:rPr>
                <w:rFonts w:hint="eastAsia" w:ascii="仿宋_GB2312" w:hAnsi="宋体" w:eastAsia="仿宋_GB2312" w:cs="宋体"/>
                <w:color w:val="000000" w:themeColor="text1"/>
                <w:kern w:val="0"/>
                <w:szCs w:val="21"/>
                <w14:textFill>
                  <w14:solidFill>
                    <w14:schemeClr w14:val="tx1"/>
                  </w14:solidFill>
                </w14:textFill>
              </w:rPr>
              <w:t>吨以上4吨以下的。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责令改正，对单位处以20万元以上30万元以下罚款，对个人处150元罚款，没收违法所得。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960"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未交由具备相应资质条件的单位进行无害化处理的厨余垃圾4</w:t>
            </w:r>
            <w:r>
              <w:rPr>
                <w:rFonts w:hint="eastAsia" w:ascii="仿宋_GB2312" w:hAnsi="宋体" w:eastAsia="仿宋_GB2312" w:cs="宋体"/>
                <w:color w:val="000000" w:themeColor="text1"/>
                <w:kern w:val="0"/>
                <w:szCs w:val="21"/>
                <w14:textFill>
                  <w14:solidFill>
                    <w14:schemeClr w14:val="tx1"/>
                  </w14:solidFill>
                </w14:textFill>
              </w:rPr>
              <w:t>吨以上6吨以下的。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责令改正，对单位处以30万元以上40万元以下罚款，对个人处200元罚款，没收违法所得。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31"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未交由具备相应资质条件的单位进行无害化处理的厨余垃圾6</w:t>
            </w:r>
            <w:r>
              <w:rPr>
                <w:rFonts w:hint="eastAsia" w:ascii="仿宋_GB2312" w:hAnsi="宋体" w:eastAsia="仿宋_GB2312" w:cs="宋体"/>
                <w:color w:val="000000" w:themeColor="text1"/>
                <w:kern w:val="0"/>
                <w:szCs w:val="21"/>
                <w14:textFill>
                  <w14:solidFill>
                    <w14:schemeClr w14:val="tx1"/>
                  </w14:solidFill>
                </w14:textFill>
              </w:rPr>
              <w:t>吨以上8吨以下的。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责令改正，对单位处以40万元以上50万元以下罚款，对个人处250元罚款，没收违法所得。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944"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未交由具备相应资质条件的单位进行无害化处理的厨余垃圾8</w:t>
            </w:r>
            <w:r>
              <w:rPr>
                <w:rFonts w:hint="eastAsia" w:ascii="仿宋_GB2312" w:hAnsi="宋体" w:eastAsia="仿宋_GB2312" w:cs="宋体"/>
                <w:color w:val="000000" w:themeColor="text1"/>
                <w:kern w:val="0"/>
                <w:szCs w:val="21"/>
                <w14:textFill>
                  <w14:solidFill>
                    <w14:schemeClr w14:val="tx1"/>
                  </w14:solidFill>
                </w14:textFill>
              </w:rPr>
              <w:t>吨以上10吨以下的。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责令改正，对单位处以50万元以上60万元以下罚款，对个人处300元罚款，没收违法所得。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96"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未交由具备相应资质条件的单位进行无害化处理的厨余垃圾10</w:t>
            </w:r>
            <w:r>
              <w:rPr>
                <w:rFonts w:hint="eastAsia" w:ascii="仿宋_GB2312" w:hAnsi="宋体" w:eastAsia="仿宋_GB2312" w:cs="宋体"/>
                <w:color w:val="000000" w:themeColor="text1"/>
                <w:kern w:val="0"/>
                <w:szCs w:val="21"/>
                <w14:textFill>
                  <w14:solidFill>
                    <w14:schemeClr w14:val="tx1"/>
                  </w14:solidFill>
                </w14:textFill>
              </w:rPr>
              <w:t>吨以上12吨以下的。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责令改正，对单位处以60万元以上70万元以下罚款，对个人处350元罚款，没收违法所得。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887"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未交由具备相应资质条件的单位进行无害化处理的厨余垃圾12</w:t>
            </w:r>
            <w:r>
              <w:rPr>
                <w:rFonts w:hint="eastAsia" w:ascii="仿宋_GB2312" w:hAnsi="宋体" w:eastAsia="仿宋_GB2312" w:cs="宋体"/>
                <w:color w:val="000000" w:themeColor="text1"/>
                <w:kern w:val="0"/>
                <w:szCs w:val="21"/>
                <w14:textFill>
                  <w14:solidFill>
                    <w14:schemeClr w14:val="tx1"/>
                  </w14:solidFill>
                </w14:textFill>
              </w:rPr>
              <w:t>吨以上14吨以下的。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责令改正，对单位处以70万元以上80万元以下罚款，对个人处400元罚款，没收违法所得。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38"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未交由具备相应资质条件的单位进行无害化处理的厨余垃圾14</w:t>
            </w:r>
            <w:r>
              <w:rPr>
                <w:rFonts w:hint="eastAsia" w:ascii="仿宋_GB2312" w:hAnsi="宋体" w:eastAsia="仿宋_GB2312" w:cs="宋体"/>
                <w:color w:val="000000" w:themeColor="text1"/>
                <w:kern w:val="0"/>
                <w:szCs w:val="21"/>
                <w14:textFill>
                  <w14:solidFill>
                    <w14:schemeClr w14:val="tx1"/>
                  </w14:solidFill>
                </w14:textFill>
              </w:rPr>
              <w:t>吨以上16吨以下的。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责令改正，对单位处以80万元以上90万元以下罚款，对个人处450元罚款，没收违法所得。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552"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未交由具备相应资质条件的单位进行无害化处理的厨余垃圾16</w:t>
            </w:r>
            <w:r>
              <w:rPr>
                <w:rFonts w:hint="eastAsia" w:ascii="仿宋_GB2312" w:hAnsi="宋体" w:eastAsia="仿宋_GB2312" w:cs="宋体"/>
                <w:color w:val="000000" w:themeColor="text1"/>
                <w:kern w:val="0"/>
                <w:szCs w:val="21"/>
                <w14:textFill>
                  <w14:solidFill>
                    <w14:schemeClr w14:val="tx1"/>
                  </w14:solidFill>
                </w14:textFill>
              </w:rPr>
              <w:t>吨以上的。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责令改正，对单位处以90万元以上100万元以下罚款，对个人处500元罚款，没收违法所得。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970"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512</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畜禽养殖场、养殖小区利用未经无害化处理的厨余垃圾饲喂畜禽的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《中华人民共和国固体废物污染环境防治法》第五十七条</w:t>
            </w:r>
          </w:p>
        </w:tc>
        <w:tc>
          <w:tcPr>
            <w:tcW w:w="4255" w:type="dxa"/>
            <w:gridSpan w:val="2"/>
            <w:vMerge w:val="restart"/>
            <w:tcBorders>
              <w:tl2br w:val="nil"/>
              <w:tr2bl w:val="nil"/>
            </w:tcBorders>
            <w:vAlign w:val="center"/>
          </w:tcPr>
          <w:p>
            <w:pPr>
              <w:widowControl/>
              <w:spacing w:line="240" w:lineRule="auto"/>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《中华人民共和国固体废物污染环境防治法》第一百一十一条第一款第六项、第一百一十一条第二款</w:t>
            </w:r>
          </w:p>
          <w:p>
            <w:pPr>
              <w:widowControl/>
              <w:spacing w:line="240" w:lineRule="auto"/>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widowControl/>
              <w:spacing w:line="240" w:lineRule="auto"/>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对单位处10万元以上40万元以下的罚款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p>
            <w:pPr>
              <w:widowControl/>
              <w:spacing w:line="240" w:lineRule="auto"/>
              <w:jc w:val="left"/>
              <w:textAlignment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835" w:hRule="atLeast"/>
          <w:jc w:val="center"/>
        </w:trPr>
        <w:tc>
          <w:tcPr>
            <w:tcW w:w="56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对单位处40万元以上70万元以下的罚款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15" w:hRule="atLeast"/>
          <w:jc w:val="center"/>
        </w:trPr>
        <w:tc>
          <w:tcPr>
            <w:tcW w:w="56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105" w:firstLineChars="5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（1）经责令停止违法行为后，继续实施违法行为的；（2）曾因实施该违法行为被查处，再次实施该违法行为的；（3）造成重大社会影响或危害后果的。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对单位处70万元以上100万元以下的罚款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278"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513</w:t>
            </w:r>
          </w:p>
        </w:tc>
        <w:tc>
          <w:tcPr>
            <w:tcW w:w="1440"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在运输过程中沿途丢弃、遗撒生活垃圾的</w:t>
            </w:r>
          </w:p>
        </w:tc>
        <w:tc>
          <w:tcPr>
            <w:tcW w:w="1115" w:type="dxa"/>
            <w:gridSpan w:val="3"/>
            <w:vMerge w:val="restart"/>
            <w:tcBorders>
              <w:tl2br w:val="nil"/>
              <w:tr2bl w:val="nil"/>
            </w:tcBorders>
            <w:vAlign w:val="center"/>
          </w:tcPr>
          <w:p>
            <w:pPr>
              <w:widowControl/>
              <w:spacing w:line="240" w:lineRule="auto"/>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《中华人民共和国固体废物污染环境防治法》第二十条</w:t>
            </w:r>
          </w:p>
        </w:tc>
        <w:tc>
          <w:tcPr>
            <w:tcW w:w="4255" w:type="dxa"/>
            <w:gridSpan w:val="2"/>
            <w:vMerge w:val="restart"/>
            <w:tcBorders>
              <w:tl2br w:val="nil"/>
              <w:tr2bl w:val="nil"/>
            </w:tcBorders>
            <w:vAlign w:val="center"/>
          </w:tcPr>
          <w:p>
            <w:pPr>
              <w:widowControl/>
              <w:spacing w:line="240" w:lineRule="auto"/>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《中华人民共和国固体废物污染环境防治法》第一百一十一条第一款第七项、第一百一十一条第二款</w:t>
            </w:r>
          </w:p>
          <w:p>
            <w:pPr>
              <w:widowControl/>
              <w:spacing w:line="240" w:lineRule="auto"/>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widowControl/>
              <w:spacing w:line="240" w:lineRule="auto"/>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丢弃、遗撒生活垃圾污染路面10平方米以下的。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对单位处以5万元罚款，对个人处以100元罚款，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39" w:hRule="atLeast"/>
          <w:jc w:val="center"/>
        </w:trPr>
        <w:tc>
          <w:tcPr>
            <w:tcW w:w="56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丢弃、遗撒生活垃圾污染路面10平方米以上20平方米以下的。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对单位处以5万元以上10万元以下罚款，对个人处以150元罚款，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584" w:hRule="atLeast"/>
          <w:jc w:val="center"/>
        </w:trPr>
        <w:tc>
          <w:tcPr>
            <w:tcW w:w="56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丢弃、遗撒生活垃圾污染路面20平方米以上30平方米以下的。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对单位处以10万元以上20万元以下罚款，对个人处以200元罚款，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31" w:hRule="atLeast"/>
          <w:jc w:val="center"/>
        </w:trPr>
        <w:tc>
          <w:tcPr>
            <w:tcW w:w="56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丢弃、遗撒生活垃圾污染路面30平方米以上40平方米以下的。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对单位处以20万元以上30万元以下罚款，对个人处以300元罚款，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1499" w:hRule="atLeast"/>
          <w:jc w:val="center"/>
        </w:trPr>
        <w:tc>
          <w:tcPr>
            <w:tcW w:w="56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丢弃、遗撒生活垃圾污染路面40平方米以上50平方米以下的。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对单位处以30万元以上40万元以下罚款，对个人处以400元罚款，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443" w:hRule="atLeast"/>
          <w:jc w:val="center"/>
        </w:trPr>
        <w:tc>
          <w:tcPr>
            <w:tcW w:w="56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丢弃、遗撒生活垃圾污染路面50平方米以上的。</w:t>
            </w:r>
          </w:p>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对单位处以40万元以上50万元以下罚款，对个人处以500元罚款，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PrEx>
        <w:trPr>
          <w:gridBefore w:val="1"/>
          <w:wBefore w:w="15" w:type="dxa"/>
          <w:trHeight w:val="90" w:hRule="atLeast"/>
          <w:jc w:val="center"/>
        </w:trPr>
        <w:tc>
          <w:tcPr>
            <w:tcW w:w="566" w:type="dxa"/>
            <w:gridSpan w:val="2"/>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514</w:t>
            </w:r>
          </w:p>
        </w:tc>
        <w:tc>
          <w:tcPr>
            <w:tcW w:w="1440"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未在指定的地点分类投放生活垃圾的</w:t>
            </w:r>
          </w:p>
        </w:tc>
        <w:tc>
          <w:tcPr>
            <w:tcW w:w="1115" w:type="dxa"/>
            <w:gridSpan w:val="3"/>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《中华人民共和国固体废物污染环境防治法》第四十九条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《中华人民共和国固体废物污染环境防治法》第一百一十一条第三款</w:t>
            </w:r>
          </w:p>
          <w:p>
            <w:pPr>
              <w:widowControl/>
              <w:spacing w:line="240" w:lineRule="auto"/>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违反本法规定，未在指定的地点分类投放生活垃圾的，由县级以上地方人民政府环境卫生主管部门责令改正；情节严重的，对单位处五万元以上五十万元以下的罚款，对个人依法处以罚款。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7" w:hRule="atLeast"/>
          <w:jc w:val="center"/>
        </w:trPr>
        <w:tc>
          <w:tcPr>
            <w:tcW w:w="566"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情节严重，但不具有从重情形的。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责令改正；对单位处五万元以上三十万元以下的罚款，对个人依法处以罚款。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440"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115"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（1）情节严重，且经责令停止违法行为后，继续实施违法行为的；（2）情节严重，且曾因此被查处过，再次实施违法行为的。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责令改正；对单位处三十万元以上五十万元以下的罚款，对个人依法处以罚款。</w:t>
            </w:r>
          </w:p>
        </w:tc>
      </w:tr>
    </w:tbl>
    <w:p>
      <w:pPr>
        <w:widowControl/>
        <w:spacing w:line="240" w:lineRule="auto"/>
        <w:rPr>
          <w:rFonts w:ascii="仿宋_GB2312" w:hAnsi="宋体" w:eastAsia="仿宋_GB2312"/>
          <w:color w:val="000000" w:themeColor="text1"/>
          <w:szCs w:val="21"/>
          <w14:textFill>
            <w14:solidFill>
              <w14:schemeClr w14:val="tx1"/>
            </w14:solidFill>
          </w14:textFill>
        </w:rPr>
      </w:pPr>
    </w:p>
    <w:p>
      <w:pPr>
        <w:spacing w:line="240" w:lineRule="auto"/>
        <w:rPr>
          <w:color w:val="000000" w:themeColor="text1"/>
          <w14:textFill>
            <w14:solidFill>
              <w14:schemeClr w14:val="tx1"/>
            </w14:solidFill>
          </w14:textFill>
        </w:rPr>
      </w:pPr>
    </w:p>
    <w:sectPr>
      <w:footerReference r:id="rId5" w:type="default"/>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方正书宋简体">
    <w:altName w:val="方正书宋_GBK"/>
    <w:panose1 w:val="00000000000000000000"/>
    <w:charset w:val="86"/>
    <w:family w:val="script"/>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4256636"/>
    </w:sdtPr>
    <w:sdtContent>
      <w:p>
        <w:pPr>
          <w:pStyle w:val="7"/>
          <w:jc w:val="center"/>
        </w:pPr>
        <w:r>
          <w:fldChar w:fldCharType="begin"/>
        </w:r>
        <w:r>
          <w:instrText xml:space="preserve">PAGE   \* MERGEFORMAT</w:instrText>
        </w:r>
        <w:r>
          <w:fldChar w:fldCharType="separate"/>
        </w:r>
        <w:r>
          <w:rPr>
            <w:lang w:val="zh-CN"/>
          </w:rPr>
          <w:t>185</w:t>
        </w:r>
        <w:r>
          <w:rPr>
            <w:lang w:val="zh-CN"/>
          </w:rP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5C183F"/>
    <w:multiLevelType w:val="singleLevel"/>
    <w:tmpl w:val="F05C183F"/>
    <w:lvl w:ilvl="0" w:tentative="0">
      <w:start w:val="1"/>
      <w:numFmt w:val="chineseCounting"/>
      <w:suff w:val="nothing"/>
      <w:lvlText w:val="（%1）"/>
      <w:lvlJc w:val="left"/>
      <w:rPr>
        <w:rFonts w:hint="eastAsia"/>
      </w:rPr>
    </w:lvl>
  </w:abstractNum>
  <w:abstractNum w:abstractNumId="1">
    <w:nsid w:val="07008F8F"/>
    <w:multiLevelType w:val="singleLevel"/>
    <w:tmpl w:val="07008F8F"/>
    <w:lvl w:ilvl="0" w:tentative="0">
      <w:start w:val="1"/>
      <w:numFmt w:val="chineseCounting"/>
      <w:suff w:val="nothing"/>
      <w:lvlText w:val="（%1）"/>
      <w:lvlJc w:val="left"/>
      <w:rPr>
        <w:rFonts w:hint="eastAsia"/>
      </w:rPr>
    </w:lvl>
  </w:abstractNum>
  <w:abstractNum w:abstractNumId="2">
    <w:nsid w:val="110A64DB"/>
    <w:multiLevelType w:val="multilevel"/>
    <w:tmpl w:val="110A64DB"/>
    <w:lvl w:ilvl="0" w:tentative="0">
      <w:start w:val="338"/>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7C32DB1"/>
    <w:multiLevelType w:val="multilevel"/>
    <w:tmpl w:val="27C32DB1"/>
    <w:lvl w:ilvl="0" w:tentative="0">
      <w:start w:val="354"/>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0AC59B1"/>
    <w:multiLevelType w:val="multilevel"/>
    <w:tmpl w:val="40AC59B1"/>
    <w:lvl w:ilvl="0" w:tentative="0">
      <w:start w:val="208"/>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0F2330E"/>
    <w:multiLevelType w:val="multilevel"/>
    <w:tmpl w:val="40F2330E"/>
    <w:lvl w:ilvl="0" w:tentative="0">
      <w:start w:val="500"/>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1761FE5"/>
    <w:multiLevelType w:val="singleLevel"/>
    <w:tmpl w:val="41761FE5"/>
    <w:lvl w:ilvl="0" w:tentative="0">
      <w:start w:val="1"/>
      <w:numFmt w:val="chineseCounting"/>
      <w:suff w:val="nothing"/>
      <w:lvlText w:val="（%1）"/>
      <w:lvlJc w:val="left"/>
      <w:rPr>
        <w:rFonts w:hint="eastAsia"/>
      </w:rPr>
    </w:lvl>
  </w:abstractNum>
  <w:abstractNum w:abstractNumId="7">
    <w:nsid w:val="51FC733F"/>
    <w:multiLevelType w:val="multilevel"/>
    <w:tmpl w:val="51FC733F"/>
    <w:lvl w:ilvl="0" w:tentative="0">
      <w:start w:val="208"/>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hideSpellingErrors/>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E7"/>
    <w:rsid w:val="00001A9B"/>
    <w:rsid w:val="00004C1B"/>
    <w:rsid w:val="000052D2"/>
    <w:rsid w:val="00005A68"/>
    <w:rsid w:val="00005CAB"/>
    <w:rsid w:val="00005CAE"/>
    <w:rsid w:val="00006917"/>
    <w:rsid w:val="0000756C"/>
    <w:rsid w:val="00007BBC"/>
    <w:rsid w:val="0001131A"/>
    <w:rsid w:val="000114C6"/>
    <w:rsid w:val="00012735"/>
    <w:rsid w:val="000168B7"/>
    <w:rsid w:val="000248E7"/>
    <w:rsid w:val="00026406"/>
    <w:rsid w:val="0002683F"/>
    <w:rsid w:val="000308A5"/>
    <w:rsid w:val="00032775"/>
    <w:rsid w:val="000363F8"/>
    <w:rsid w:val="00037229"/>
    <w:rsid w:val="00041DF9"/>
    <w:rsid w:val="0004286B"/>
    <w:rsid w:val="000459A6"/>
    <w:rsid w:val="00047249"/>
    <w:rsid w:val="000506FA"/>
    <w:rsid w:val="0005172A"/>
    <w:rsid w:val="00053AA2"/>
    <w:rsid w:val="0005477B"/>
    <w:rsid w:val="000549B4"/>
    <w:rsid w:val="00055A10"/>
    <w:rsid w:val="00062180"/>
    <w:rsid w:val="0006443D"/>
    <w:rsid w:val="000669AC"/>
    <w:rsid w:val="00070156"/>
    <w:rsid w:val="00071BEA"/>
    <w:rsid w:val="0007450F"/>
    <w:rsid w:val="00075EE1"/>
    <w:rsid w:val="00082347"/>
    <w:rsid w:val="00082AD7"/>
    <w:rsid w:val="00082FC4"/>
    <w:rsid w:val="00083ADB"/>
    <w:rsid w:val="00086B2B"/>
    <w:rsid w:val="000924CD"/>
    <w:rsid w:val="00092B64"/>
    <w:rsid w:val="00092D9D"/>
    <w:rsid w:val="00094637"/>
    <w:rsid w:val="00094B6F"/>
    <w:rsid w:val="000A1E90"/>
    <w:rsid w:val="000A1F36"/>
    <w:rsid w:val="000A33A9"/>
    <w:rsid w:val="000A35AE"/>
    <w:rsid w:val="000A64E3"/>
    <w:rsid w:val="000A7062"/>
    <w:rsid w:val="000B1C1B"/>
    <w:rsid w:val="000B308A"/>
    <w:rsid w:val="000B790C"/>
    <w:rsid w:val="000C11DA"/>
    <w:rsid w:val="000C192D"/>
    <w:rsid w:val="000C377F"/>
    <w:rsid w:val="000C470B"/>
    <w:rsid w:val="000C53E1"/>
    <w:rsid w:val="000C6863"/>
    <w:rsid w:val="000D07B0"/>
    <w:rsid w:val="000D0A2B"/>
    <w:rsid w:val="000D19D8"/>
    <w:rsid w:val="000D5C73"/>
    <w:rsid w:val="000D7695"/>
    <w:rsid w:val="000D77DC"/>
    <w:rsid w:val="000E1522"/>
    <w:rsid w:val="000E1E99"/>
    <w:rsid w:val="000E3360"/>
    <w:rsid w:val="000E372D"/>
    <w:rsid w:val="000E4035"/>
    <w:rsid w:val="000E49DC"/>
    <w:rsid w:val="000E5986"/>
    <w:rsid w:val="000E7AD4"/>
    <w:rsid w:val="000F0768"/>
    <w:rsid w:val="000F1166"/>
    <w:rsid w:val="000F5A9C"/>
    <w:rsid w:val="000F67F5"/>
    <w:rsid w:val="00102EAC"/>
    <w:rsid w:val="001030F7"/>
    <w:rsid w:val="00106AC2"/>
    <w:rsid w:val="0010729C"/>
    <w:rsid w:val="00110ABA"/>
    <w:rsid w:val="00110C5F"/>
    <w:rsid w:val="0011222A"/>
    <w:rsid w:val="00112A17"/>
    <w:rsid w:val="00114A86"/>
    <w:rsid w:val="001162A7"/>
    <w:rsid w:val="00116C8A"/>
    <w:rsid w:val="0011729E"/>
    <w:rsid w:val="001225B0"/>
    <w:rsid w:val="00122628"/>
    <w:rsid w:val="00124A00"/>
    <w:rsid w:val="001267A1"/>
    <w:rsid w:val="001269F6"/>
    <w:rsid w:val="00127004"/>
    <w:rsid w:val="0013321B"/>
    <w:rsid w:val="00133658"/>
    <w:rsid w:val="001344F4"/>
    <w:rsid w:val="00140F14"/>
    <w:rsid w:val="00147528"/>
    <w:rsid w:val="0015247F"/>
    <w:rsid w:val="00152FC4"/>
    <w:rsid w:val="00153666"/>
    <w:rsid w:val="00155D27"/>
    <w:rsid w:val="00156277"/>
    <w:rsid w:val="001623F1"/>
    <w:rsid w:val="001723A5"/>
    <w:rsid w:val="00172BF8"/>
    <w:rsid w:val="00172E70"/>
    <w:rsid w:val="00172F59"/>
    <w:rsid w:val="00173794"/>
    <w:rsid w:val="001755D2"/>
    <w:rsid w:val="00175CFD"/>
    <w:rsid w:val="00180898"/>
    <w:rsid w:val="00184C7F"/>
    <w:rsid w:val="00186C4B"/>
    <w:rsid w:val="0019218C"/>
    <w:rsid w:val="00193725"/>
    <w:rsid w:val="00194805"/>
    <w:rsid w:val="001952C3"/>
    <w:rsid w:val="0019680F"/>
    <w:rsid w:val="00197863"/>
    <w:rsid w:val="00197F19"/>
    <w:rsid w:val="001A0EEE"/>
    <w:rsid w:val="001A1562"/>
    <w:rsid w:val="001A1ADF"/>
    <w:rsid w:val="001A2FFA"/>
    <w:rsid w:val="001A5529"/>
    <w:rsid w:val="001A5D4D"/>
    <w:rsid w:val="001A6262"/>
    <w:rsid w:val="001B08D2"/>
    <w:rsid w:val="001B1F96"/>
    <w:rsid w:val="001B2CFB"/>
    <w:rsid w:val="001B3615"/>
    <w:rsid w:val="001B66CC"/>
    <w:rsid w:val="001B7315"/>
    <w:rsid w:val="001C0780"/>
    <w:rsid w:val="001C0FB4"/>
    <w:rsid w:val="001C3723"/>
    <w:rsid w:val="001C58EB"/>
    <w:rsid w:val="001D0465"/>
    <w:rsid w:val="001D06F7"/>
    <w:rsid w:val="001D3FE1"/>
    <w:rsid w:val="001D7594"/>
    <w:rsid w:val="001D7E91"/>
    <w:rsid w:val="001E1468"/>
    <w:rsid w:val="001E296B"/>
    <w:rsid w:val="001E316E"/>
    <w:rsid w:val="001E5652"/>
    <w:rsid w:val="001F0A50"/>
    <w:rsid w:val="001F1737"/>
    <w:rsid w:val="001F457E"/>
    <w:rsid w:val="001F74E6"/>
    <w:rsid w:val="002017E1"/>
    <w:rsid w:val="00203BCB"/>
    <w:rsid w:val="00204A1E"/>
    <w:rsid w:val="00204C22"/>
    <w:rsid w:val="002057F7"/>
    <w:rsid w:val="00207DBE"/>
    <w:rsid w:val="0021107D"/>
    <w:rsid w:val="00211176"/>
    <w:rsid w:val="00212106"/>
    <w:rsid w:val="00215584"/>
    <w:rsid w:val="00215616"/>
    <w:rsid w:val="00220F3E"/>
    <w:rsid w:val="00223AC4"/>
    <w:rsid w:val="002258BB"/>
    <w:rsid w:val="00225ECF"/>
    <w:rsid w:val="00230A18"/>
    <w:rsid w:val="00230C13"/>
    <w:rsid w:val="0023282D"/>
    <w:rsid w:val="00234785"/>
    <w:rsid w:val="00234924"/>
    <w:rsid w:val="00235298"/>
    <w:rsid w:val="00242577"/>
    <w:rsid w:val="00243320"/>
    <w:rsid w:val="00245096"/>
    <w:rsid w:val="00246D0F"/>
    <w:rsid w:val="00246DDC"/>
    <w:rsid w:val="00247A17"/>
    <w:rsid w:val="0025294B"/>
    <w:rsid w:val="002553FB"/>
    <w:rsid w:val="00257002"/>
    <w:rsid w:val="00262FC7"/>
    <w:rsid w:val="0026506B"/>
    <w:rsid w:val="0026520C"/>
    <w:rsid w:val="00267EE6"/>
    <w:rsid w:val="00272145"/>
    <w:rsid w:val="00276468"/>
    <w:rsid w:val="002803A2"/>
    <w:rsid w:val="00283A3D"/>
    <w:rsid w:val="00283B0C"/>
    <w:rsid w:val="00285A8B"/>
    <w:rsid w:val="0028605F"/>
    <w:rsid w:val="00292863"/>
    <w:rsid w:val="00293C56"/>
    <w:rsid w:val="00293CD4"/>
    <w:rsid w:val="00293F07"/>
    <w:rsid w:val="002940E7"/>
    <w:rsid w:val="00294C6F"/>
    <w:rsid w:val="00296FB7"/>
    <w:rsid w:val="002A61B4"/>
    <w:rsid w:val="002B05F8"/>
    <w:rsid w:val="002B2362"/>
    <w:rsid w:val="002B304B"/>
    <w:rsid w:val="002B635E"/>
    <w:rsid w:val="002B63D9"/>
    <w:rsid w:val="002C012B"/>
    <w:rsid w:val="002C1D9C"/>
    <w:rsid w:val="002C6AF0"/>
    <w:rsid w:val="002C6BF9"/>
    <w:rsid w:val="002C7DA1"/>
    <w:rsid w:val="002D0B81"/>
    <w:rsid w:val="002D17FB"/>
    <w:rsid w:val="002D18D0"/>
    <w:rsid w:val="002D30D5"/>
    <w:rsid w:val="002D3218"/>
    <w:rsid w:val="002D3C56"/>
    <w:rsid w:val="002D42BE"/>
    <w:rsid w:val="002D4748"/>
    <w:rsid w:val="002D6B88"/>
    <w:rsid w:val="002E0D4A"/>
    <w:rsid w:val="002E1D5B"/>
    <w:rsid w:val="002E2973"/>
    <w:rsid w:val="002E54B6"/>
    <w:rsid w:val="002F1678"/>
    <w:rsid w:val="00301810"/>
    <w:rsid w:val="003050A2"/>
    <w:rsid w:val="003105C5"/>
    <w:rsid w:val="0031208E"/>
    <w:rsid w:val="003143F5"/>
    <w:rsid w:val="00314654"/>
    <w:rsid w:val="00314E60"/>
    <w:rsid w:val="003168DB"/>
    <w:rsid w:val="0031715C"/>
    <w:rsid w:val="00320200"/>
    <w:rsid w:val="00321D7F"/>
    <w:rsid w:val="003230F0"/>
    <w:rsid w:val="0032402D"/>
    <w:rsid w:val="00325C54"/>
    <w:rsid w:val="00325CEE"/>
    <w:rsid w:val="00327139"/>
    <w:rsid w:val="0032744A"/>
    <w:rsid w:val="0033103C"/>
    <w:rsid w:val="003344B7"/>
    <w:rsid w:val="00334C43"/>
    <w:rsid w:val="0033616B"/>
    <w:rsid w:val="00337712"/>
    <w:rsid w:val="00340B78"/>
    <w:rsid w:val="003475B2"/>
    <w:rsid w:val="003478AC"/>
    <w:rsid w:val="003542F7"/>
    <w:rsid w:val="00354947"/>
    <w:rsid w:val="00355E1C"/>
    <w:rsid w:val="00357112"/>
    <w:rsid w:val="00364F1C"/>
    <w:rsid w:val="00370DA6"/>
    <w:rsid w:val="00371B59"/>
    <w:rsid w:val="00375377"/>
    <w:rsid w:val="00375FC9"/>
    <w:rsid w:val="00376304"/>
    <w:rsid w:val="00377E63"/>
    <w:rsid w:val="00380F1F"/>
    <w:rsid w:val="00381DA6"/>
    <w:rsid w:val="0038244D"/>
    <w:rsid w:val="003851E6"/>
    <w:rsid w:val="00386359"/>
    <w:rsid w:val="00386421"/>
    <w:rsid w:val="00391AA2"/>
    <w:rsid w:val="0039256B"/>
    <w:rsid w:val="00393AB1"/>
    <w:rsid w:val="003948FA"/>
    <w:rsid w:val="00395926"/>
    <w:rsid w:val="003A0D16"/>
    <w:rsid w:val="003A2C08"/>
    <w:rsid w:val="003A3808"/>
    <w:rsid w:val="003A6927"/>
    <w:rsid w:val="003A6B0F"/>
    <w:rsid w:val="003B1238"/>
    <w:rsid w:val="003B28EE"/>
    <w:rsid w:val="003B3A8F"/>
    <w:rsid w:val="003B580E"/>
    <w:rsid w:val="003B609B"/>
    <w:rsid w:val="003C2529"/>
    <w:rsid w:val="003C5C0A"/>
    <w:rsid w:val="003C66CF"/>
    <w:rsid w:val="003C6B22"/>
    <w:rsid w:val="003D0A99"/>
    <w:rsid w:val="003D1A8E"/>
    <w:rsid w:val="003D2D0B"/>
    <w:rsid w:val="003D32B6"/>
    <w:rsid w:val="003D44B9"/>
    <w:rsid w:val="003D5743"/>
    <w:rsid w:val="003D5BC8"/>
    <w:rsid w:val="003D69CE"/>
    <w:rsid w:val="003D6DA1"/>
    <w:rsid w:val="003D70D6"/>
    <w:rsid w:val="003E1730"/>
    <w:rsid w:val="003E1B51"/>
    <w:rsid w:val="003E5025"/>
    <w:rsid w:val="003E51E1"/>
    <w:rsid w:val="003E5FDA"/>
    <w:rsid w:val="003E6B4C"/>
    <w:rsid w:val="003E6C62"/>
    <w:rsid w:val="003F2098"/>
    <w:rsid w:val="003F706E"/>
    <w:rsid w:val="00401CD1"/>
    <w:rsid w:val="00402189"/>
    <w:rsid w:val="00403584"/>
    <w:rsid w:val="00403C99"/>
    <w:rsid w:val="00410671"/>
    <w:rsid w:val="00413762"/>
    <w:rsid w:val="004169F2"/>
    <w:rsid w:val="00417235"/>
    <w:rsid w:val="00425BDB"/>
    <w:rsid w:val="00425E91"/>
    <w:rsid w:val="00434301"/>
    <w:rsid w:val="0043628B"/>
    <w:rsid w:val="0044026B"/>
    <w:rsid w:val="004414B6"/>
    <w:rsid w:val="00444389"/>
    <w:rsid w:val="00444875"/>
    <w:rsid w:val="00444CAE"/>
    <w:rsid w:val="0044576B"/>
    <w:rsid w:val="00445844"/>
    <w:rsid w:val="00446AFA"/>
    <w:rsid w:val="00447B6D"/>
    <w:rsid w:val="004529EE"/>
    <w:rsid w:val="00452C4C"/>
    <w:rsid w:val="0045635D"/>
    <w:rsid w:val="00462D8E"/>
    <w:rsid w:val="004638CA"/>
    <w:rsid w:val="00464D71"/>
    <w:rsid w:val="00470E98"/>
    <w:rsid w:val="00471678"/>
    <w:rsid w:val="004748B0"/>
    <w:rsid w:val="004810ED"/>
    <w:rsid w:val="004824EA"/>
    <w:rsid w:val="00485638"/>
    <w:rsid w:val="00486C25"/>
    <w:rsid w:val="00486FB1"/>
    <w:rsid w:val="0048775D"/>
    <w:rsid w:val="004918EA"/>
    <w:rsid w:val="00496DEC"/>
    <w:rsid w:val="00496E4B"/>
    <w:rsid w:val="004A2DFF"/>
    <w:rsid w:val="004A38AD"/>
    <w:rsid w:val="004A4CA9"/>
    <w:rsid w:val="004A6077"/>
    <w:rsid w:val="004A62D5"/>
    <w:rsid w:val="004A7D6B"/>
    <w:rsid w:val="004B03AE"/>
    <w:rsid w:val="004B143C"/>
    <w:rsid w:val="004B20FB"/>
    <w:rsid w:val="004B2B99"/>
    <w:rsid w:val="004B33FA"/>
    <w:rsid w:val="004C08D8"/>
    <w:rsid w:val="004C32B7"/>
    <w:rsid w:val="004C398C"/>
    <w:rsid w:val="004C4B0A"/>
    <w:rsid w:val="004C5E6D"/>
    <w:rsid w:val="004D1605"/>
    <w:rsid w:val="004D2A34"/>
    <w:rsid w:val="004D3589"/>
    <w:rsid w:val="004D4F74"/>
    <w:rsid w:val="004D6F67"/>
    <w:rsid w:val="004E1102"/>
    <w:rsid w:val="004E115A"/>
    <w:rsid w:val="004E3045"/>
    <w:rsid w:val="004E45BB"/>
    <w:rsid w:val="004F2BC9"/>
    <w:rsid w:val="004F2D63"/>
    <w:rsid w:val="004F35A0"/>
    <w:rsid w:val="004F6DC9"/>
    <w:rsid w:val="004F76FB"/>
    <w:rsid w:val="005025AA"/>
    <w:rsid w:val="00503E0B"/>
    <w:rsid w:val="0050569D"/>
    <w:rsid w:val="00511083"/>
    <w:rsid w:val="0051249F"/>
    <w:rsid w:val="00517B83"/>
    <w:rsid w:val="00523F36"/>
    <w:rsid w:val="00526587"/>
    <w:rsid w:val="00526F99"/>
    <w:rsid w:val="005313C0"/>
    <w:rsid w:val="00532632"/>
    <w:rsid w:val="00533E24"/>
    <w:rsid w:val="0053475A"/>
    <w:rsid w:val="00535930"/>
    <w:rsid w:val="00537106"/>
    <w:rsid w:val="00537CEE"/>
    <w:rsid w:val="00542D09"/>
    <w:rsid w:val="0054359F"/>
    <w:rsid w:val="005452D1"/>
    <w:rsid w:val="00546BE1"/>
    <w:rsid w:val="005476B2"/>
    <w:rsid w:val="00547EE1"/>
    <w:rsid w:val="00552C39"/>
    <w:rsid w:val="005538BC"/>
    <w:rsid w:val="0055459B"/>
    <w:rsid w:val="005611C4"/>
    <w:rsid w:val="005640D3"/>
    <w:rsid w:val="00564705"/>
    <w:rsid w:val="005656B7"/>
    <w:rsid w:val="00565C49"/>
    <w:rsid w:val="00571D77"/>
    <w:rsid w:val="005722C7"/>
    <w:rsid w:val="00574022"/>
    <w:rsid w:val="005745EF"/>
    <w:rsid w:val="00574CB0"/>
    <w:rsid w:val="00574FBA"/>
    <w:rsid w:val="00577B7F"/>
    <w:rsid w:val="00580745"/>
    <w:rsid w:val="00582408"/>
    <w:rsid w:val="00582F0B"/>
    <w:rsid w:val="00583ACA"/>
    <w:rsid w:val="00590A41"/>
    <w:rsid w:val="00591CF0"/>
    <w:rsid w:val="005928BB"/>
    <w:rsid w:val="00592E3B"/>
    <w:rsid w:val="0059471D"/>
    <w:rsid w:val="00597BBF"/>
    <w:rsid w:val="005A5DC4"/>
    <w:rsid w:val="005A6A99"/>
    <w:rsid w:val="005A6B12"/>
    <w:rsid w:val="005A7681"/>
    <w:rsid w:val="005B03D7"/>
    <w:rsid w:val="005B1CE7"/>
    <w:rsid w:val="005B279D"/>
    <w:rsid w:val="005C0692"/>
    <w:rsid w:val="005C0F5F"/>
    <w:rsid w:val="005C69FB"/>
    <w:rsid w:val="005D225E"/>
    <w:rsid w:val="005D6005"/>
    <w:rsid w:val="005D6D94"/>
    <w:rsid w:val="005D79E0"/>
    <w:rsid w:val="005E3FF5"/>
    <w:rsid w:val="005E7555"/>
    <w:rsid w:val="005E77D5"/>
    <w:rsid w:val="005F68D5"/>
    <w:rsid w:val="00603621"/>
    <w:rsid w:val="0060452C"/>
    <w:rsid w:val="00604609"/>
    <w:rsid w:val="00604E79"/>
    <w:rsid w:val="006052B3"/>
    <w:rsid w:val="00607452"/>
    <w:rsid w:val="00607516"/>
    <w:rsid w:val="006079D0"/>
    <w:rsid w:val="00607C39"/>
    <w:rsid w:val="006103DA"/>
    <w:rsid w:val="00613D4F"/>
    <w:rsid w:val="006170EE"/>
    <w:rsid w:val="00617CA4"/>
    <w:rsid w:val="00621476"/>
    <w:rsid w:val="006223A7"/>
    <w:rsid w:val="0062475D"/>
    <w:rsid w:val="00624A22"/>
    <w:rsid w:val="0062528F"/>
    <w:rsid w:val="00627B3B"/>
    <w:rsid w:val="00631DFF"/>
    <w:rsid w:val="0063271C"/>
    <w:rsid w:val="00633373"/>
    <w:rsid w:val="00633DF6"/>
    <w:rsid w:val="00633F01"/>
    <w:rsid w:val="006356C9"/>
    <w:rsid w:val="00636D4C"/>
    <w:rsid w:val="00636D65"/>
    <w:rsid w:val="006406B1"/>
    <w:rsid w:val="00640D92"/>
    <w:rsid w:val="00642694"/>
    <w:rsid w:val="006442C8"/>
    <w:rsid w:val="00644A45"/>
    <w:rsid w:val="0065049E"/>
    <w:rsid w:val="00651EEA"/>
    <w:rsid w:val="00652161"/>
    <w:rsid w:val="00652F7A"/>
    <w:rsid w:val="00672C35"/>
    <w:rsid w:val="006731E6"/>
    <w:rsid w:val="00673AA8"/>
    <w:rsid w:val="00673C98"/>
    <w:rsid w:val="006741CA"/>
    <w:rsid w:val="00674FF8"/>
    <w:rsid w:val="006767B2"/>
    <w:rsid w:val="006808FD"/>
    <w:rsid w:val="00685DED"/>
    <w:rsid w:val="006862F6"/>
    <w:rsid w:val="00687390"/>
    <w:rsid w:val="00690E74"/>
    <w:rsid w:val="00692AA6"/>
    <w:rsid w:val="00693D4C"/>
    <w:rsid w:val="00695C58"/>
    <w:rsid w:val="00697D89"/>
    <w:rsid w:val="006A033D"/>
    <w:rsid w:val="006A0E72"/>
    <w:rsid w:val="006A27AB"/>
    <w:rsid w:val="006A4566"/>
    <w:rsid w:val="006A4A45"/>
    <w:rsid w:val="006A4F0B"/>
    <w:rsid w:val="006A57C8"/>
    <w:rsid w:val="006A6799"/>
    <w:rsid w:val="006B242D"/>
    <w:rsid w:val="006B3288"/>
    <w:rsid w:val="006B45DD"/>
    <w:rsid w:val="006B5C4B"/>
    <w:rsid w:val="006B793F"/>
    <w:rsid w:val="006B7EF7"/>
    <w:rsid w:val="006C1E5D"/>
    <w:rsid w:val="006C1E8F"/>
    <w:rsid w:val="006C6BFB"/>
    <w:rsid w:val="006C6E36"/>
    <w:rsid w:val="006D03B5"/>
    <w:rsid w:val="006D18FA"/>
    <w:rsid w:val="006D5801"/>
    <w:rsid w:val="006D6167"/>
    <w:rsid w:val="006D652C"/>
    <w:rsid w:val="006D6D00"/>
    <w:rsid w:val="006D6E6B"/>
    <w:rsid w:val="006D7D83"/>
    <w:rsid w:val="006E148F"/>
    <w:rsid w:val="006E316D"/>
    <w:rsid w:val="006E4DE5"/>
    <w:rsid w:val="006E7836"/>
    <w:rsid w:val="006F0D35"/>
    <w:rsid w:val="006F130E"/>
    <w:rsid w:val="006F3C39"/>
    <w:rsid w:val="006F770B"/>
    <w:rsid w:val="006F771E"/>
    <w:rsid w:val="006F7EC0"/>
    <w:rsid w:val="00702AA7"/>
    <w:rsid w:val="00703997"/>
    <w:rsid w:val="007069BF"/>
    <w:rsid w:val="00710800"/>
    <w:rsid w:val="00711653"/>
    <w:rsid w:val="00712CC7"/>
    <w:rsid w:val="00714F18"/>
    <w:rsid w:val="007210D6"/>
    <w:rsid w:val="00721630"/>
    <w:rsid w:val="00722E21"/>
    <w:rsid w:val="00727A3F"/>
    <w:rsid w:val="007302F8"/>
    <w:rsid w:val="007311FB"/>
    <w:rsid w:val="00732065"/>
    <w:rsid w:val="00732B26"/>
    <w:rsid w:val="00732C02"/>
    <w:rsid w:val="00733DCE"/>
    <w:rsid w:val="0073551E"/>
    <w:rsid w:val="00736E1F"/>
    <w:rsid w:val="007411BC"/>
    <w:rsid w:val="00743010"/>
    <w:rsid w:val="00743C60"/>
    <w:rsid w:val="0074756B"/>
    <w:rsid w:val="007522B4"/>
    <w:rsid w:val="0075530E"/>
    <w:rsid w:val="007558F9"/>
    <w:rsid w:val="0076048C"/>
    <w:rsid w:val="0076428C"/>
    <w:rsid w:val="007703CF"/>
    <w:rsid w:val="00770DC4"/>
    <w:rsid w:val="007734D9"/>
    <w:rsid w:val="00773686"/>
    <w:rsid w:val="00773861"/>
    <w:rsid w:val="00775974"/>
    <w:rsid w:val="007840C2"/>
    <w:rsid w:val="00785C16"/>
    <w:rsid w:val="0078676F"/>
    <w:rsid w:val="0078685F"/>
    <w:rsid w:val="0078708F"/>
    <w:rsid w:val="00787871"/>
    <w:rsid w:val="00787F05"/>
    <w:rsid w:val="007925B8"/>
    <w:rsid w:val="00796011"/>
    <w:rsid w:val="007A0D13"/>
    <w:rsid w:val="007A0DB3"/>
    <w:rsid w:val="007A411C"/>
    <w:rsid w:val="007A4BED"/>
    <w:rsid w:val="007A5E25"/>
    <w:rsid w:val="007A7F10"/>
    <w:rsid w:val="007B06EC"/>
    <w:rsid w:val="007B1056"/>
    <w:rsid w:val="007B448F"/>
    <w:rsid w:val="007B58A5"/>
    <w:rsid w:val="007B7A23"/>
    <w:rsid w:val="007C0AEA"/>
    <w:rsid w:val="007C1484"/>
    <w:rsid w:val="007C21A6"/>
    <w:rsid w:val="007D000A"/>
    <w:rsid w:val="007D0B95"/>
    <w:rsid w:val="007D3790"/>
    <w:rsid w:val="007D7A52"/>
    <w:rsid w:val="007E4F70"/>
    <w:rsid w:val="007E554D"/>
    <w:rsid w:val="007F0680"/>
    <w:rsid w:val="007F4276"/>
    <w:rsid w:val="007F4C94"/>
    <w:rsid w:val="007F57C5"/>
    <w:rsid w:val="007F60B3"/>
    <w:rsid w:val="007F75B0"/>
    <w:rsid w:val="007F7D01"/>
    <w:rsid w:val="00802A72"/>
    <w:rsid w:val="0080429C"/>
    <w:rsid w:val="00804759"/>
    <w:rsid w:val="008055CF"/>
    <w:rsid w:val="00805A36"/>
    <w:rsid w:val="00806126"/>
    <w:rsid w:val="00806249"/>
    <w:rsid w:val="008062FC"/>
    <w:rsid w:val="00806462"/>
    <w:rsid w:val="0081185E"/>
    <w:rsid w:val="008119FD"/>
    <w:rsid w:val="0081272F"/>
    <w:rsid w:val="00813353"/>
    <w:rsid w:val="008133D0"/>
    <w:rsid w:val="0081473F"/>
    <w:rsid w:val="00814EC4"/>
    <w:rsid w:val="00816316"/>
    <w:rsid w:val="00821927"/>
    <w:rsid w:val="0082208D"/>
    <w:rsid w:val="0082226F"/>
    <w:rsid w:val="008254D4"/>
    <w:rsid w:val="00825AE4"/>
    <w:rsid w:val="00832F58"/>
    <w:rsid w:val="00833006"/>
    <w:rsid w:val="00837A71"/>
    <w:rsid w:val="0084054C"/>
    <w:rsid w:val="008411C7"/>
    <w:rsid w:val="008443D1"/>
    <w:rsid w:val="0085026F"/>
    <w:rsid w:val="0085371A"/>
    <w:rsid w:val="00855860"/>
    <w:rsid w:val="00855C80"/>
    <w:rsid w:val="00856B7C"/>
    <w:rsid w:val="0085788A"/>
    <w:rsid w:val="0086388A"/>
    <w:rsid w:val="00864DB7"/>
    <w:rsid w:val="00867FB5"/>
    <w:rsid w:val="00873379"/>
    <w:rsid w:val="008739E4"/>
    <w:rsid w:val="00873FAB"/>
    <w:rsid w:val="00874F37"/>
    <w:rsid w:val="00875FD7"/>
    <w:rsid w:val="0088019E"/>
    <w:rsid w:val="008805AF"/>
    <w:rsid w:val="00884961"/>
    <w:rsid w:val="00884A15"/>
    <w:rsid w:val="00885C68"/>
    <w:rsid w:val="0088756B"/>
    <w:rsid w:val="00891969"/>
    <w:rsid w:val="00893116"/>
    <w:rsid w:val="0089779D"/>
    <w:rsid w:val="00897F1C"/>
    <w:rsid w:val="008A4ABD"/>
    <w:rsid w:val="008A74AD"/>
    <w:rsid w:val="008A77BB"/>
    <w:rsid w:val="008B185D"/>
    <w:rsid w:val="008B23B1"/>
    <w:rsid w:val="008B75FD"/>
    <w:rsid w:val="008C2CC4"/>
    <w:rsid w:val="008C4CA1"/>
    <w:rsid w:val="008C54D7"/>
    <w:rsid w:val="008C5EE3"/>
    <w:rsid w:val="008C6D03"/>
    <w:rsid w:val="008D04F1"/>
    <w:rsid w:val="008D1189"/>
    <w:rsid w:val="008D1352"/>
    <w:rsid w:val="008D2AD4"/>
    <w:rsid w:val="008D309A"/>
    <w:rsid w:val="008D352B"/>
    <w:rsid w:val="008D4983"/>
    <w:rsid w:val="008D4F81"/>
    <w:rsid w:val="008D5E89"/>
    <w:rsid w:val="008D6AA0"/>
    <w:rsid w:val="008D7E99"/>
    <w:rsid w:val="008E0E01"/>
    <w:rsid w:val="008E37FE"/>
    <w:rsid w:val="008E3A4D"/>
    <w:rsid w:val="008E42B7"/>
    <w:rsid w:val="008E463B"/>
    <w:rsid w:val="008E6DFD"/>
    <w:rsid w:val="008F03F0"/>
    <w:rsid w:val="008F20C2"/>
    <w:rsid w:val="008F35B0"/>
    <w:rsid w:val="008F3FA1"/>
    <w:rsid w:val="008F4598"/>
    <w:rsid w:val="008F4961"/>
    <w:rsid w:val="008F5704"/>
    <w:rsid w:val="00903F7F"/>
    <w:rsid w:val="00904C84"/>
    <w:rsid w:val="00905257"/>
    <w:rsid w:val="00905555"/>
    <w:rsid w:val="00905A3F"/>
    <w:rsid w:val="00905F2D"/>
    <w:rsid w:val="00905FE8"/>
    <w:rsid w:val="0091031B"/>
    <w:rsid w:val="009131BA"/>
    <w:rsid w:val="00914513"/>
    <w:rsid w:val="00917090"/>
    <w:rsid w:val="00917C01"/>
    <w:rsid w:val="00920261"/>
    <w:rsid w:val="00920E49"/>
    <w:rsid w:val="00923362"/>
    <w:rsid w:val="00923B1D"/>
    <w:rsid w:val="00923D71"/>
    <w:rsid w:val="00926CD4"/>
    <w:rsid w:val="009320B3"/>
    <w:rsid w:val="0093282E"/>
    <w:rsid w:val="00933642"/>
    <w:rsid w:val="00935169"/>
    <w:rsid w:val="00935C38"/>
    <w:rsid w:val="00935F37"/>
    <w:rsid w:val="00936AD1"/>
    <w:rsid w:val="00936FF6"/>
    <w:rsid w:val="00937B5B"/>
    <w:rsid w:val="00937D1F"/>
    <w:rsid w:val="00940480"/>
    <w:rsid w:val="00941037"/>
    <w:rsid w:val="0094163F"/>
    <w:rsid w:val="00942749"/>
    <w:rsid w:val="009431CE"/>
    <w:rsid w:val="00943212"/>
    <w:rsid w:val="0095785B"/>
    <w:rsid w:val="0096138B"/>
    <w:rsid w:val="00961EBE"/>
    <w:rsid w:val="0096413A"/>
    <w:rsid w:val="00967DE8"/>
    <w:rsid w:val="00971C8C"/>
    <w:rsid w:val="00972426"/>
    <w:rsid w:val="00972469"/>
    <w:rsid w:val="009730E1"/>
    <w:rsid w:val="00985016"/>
    <w:rsid w:val="00985856"/>
    <w:rsid w:val="0098608F"/>
    <w:rsid w:val="0098704C"/>
    <w:rsid w:val="009931B2"/>
    <w:rsid w:val="00994D40"/>
    <w:rsid w:val="00996646"/>
    <w:rsid w:val="00997200"/>
    <w:rsid w:val="009A27A7"/>
    <w:rsid w:val="009A33C6"/>
    <w:rsid w:val="009B0671"/>
    <w:rsid w:val="009B11B9"/>
    <w:rsid w:val="009B1CE7"/>
    <w:rsid w:val="009B2541"/>
    <w:rsid w:val="009B2929"/>
    <w:rsid w:val="009B2FE7"/>
    <w:rsid w:val="009B6C20"/>
    <w:rsid w:val="009C0EF7"/>
    <w:rsid w:val="009C164F"/>
    <w:rsid w:val="009C21CC"/>
    <w:rsid w:val="009C3516"/>
    <w:rsid w:val="009C7325"/>
    <w:rsid w:val="009D6636"/>
    <w:rsid w:val="009E00CF"/>
    <w:rsid w:val="009E02F3"/>
    <w:rsid w:val="009E043E"/>
    <w:rsid w:val="009E0578"/>
    <w:rsid w:val="009E55BF"/>
    <w:rsid w:val="009F2A54"/>
    <w:rsid w:val="009F2EEF"/>
    <w:rsid w:val="00A002C0"/>
    <w:rsid w:val="00A01EA2"/>
    <w:rsid w:val="00A025E8"/>
    <w:rsid w:val="00A0265A"/>
    <w:rsid w:val="00A069AF"/>
    <w:rsid w:val="00A07251"/>
    <w:rsid w:val="00A07A83"/>
    <w:rsid w:val="00A1017B"/>
    <w:rsid w:val="00A1106B"/>
    <w:rsid w:val="00A135E3"/>
    <w:rsid w:val="00A13FB2"/>
    <w:rsid w:val="00A15C40"/>
    <w:rsid w:val="00A17194"/>
    <w:rsid w:val="00A20363"/>
    <w:rsid w:val="00A21259"/>
    <w:rsid w:val="00A229D6"/>
    <w:rsid w:val="00A25855"/>
    <w:rsid w:val="00A273E7"/>
    <w:rsid w:val="00A3370B"/>
    <w:rsid w:val="00A345AF"/>
    <w:rsid w:val="00A35AAB"/>
    <w:rsid w:val="00A35BEC"/>
    <w:rsid w:val="00A36750"/>
    <w:rsid w:val="00A36989"/>
    <w:rsid w:val="00A36A45"/>
    <w:rsid w:val="00A40278"/>
    <w:rsid w:val="00A40362"/>
    <w:rsid w:val="00A41B15"/>
    <w:rsid w:val="00A41D8C"/>
    <w:rsid w:val="00A45AAA"/>
    <w:rsid w:val="00A50085"/>
    <w:rsid w:val="00A534EE"/>
    <w:rsid w:val="00A547B0"/>
    <w:rsid w:val="00A5598F"/>
    <w:rsid w:val="00A5647B"/>
    <w:rsid w:val="00A574C8"/>
    <w:rsid w:val="00A61800"/>
    <w:rsid w:val="00A63433"/>
    <w:rsid w:val="00A63A21"/>
    <w:rsid w:val="00A63C97"/>
    <w:rsid w:val="00A653D3"/>
    <w:rsid w:val="00A67F32"/>
    <w:rsid w:val="00A70D9F"/>
    <w:rsid w:val="00A7233C"/>
    <w:rsid w:val="00A72E6E"/>
    <w:rsid w:val="00A741C9"/>
    <w:rsid w:val="00A74651"/>
    <w:rsid w:val="00A748F7"/>
    <w:rsid w:val="00A771A5"/>
    <w:rsid w:val="00A82163"/>
    <w:rsid w:val="00A86FEC"/>
    <w:rsid w:val="00A9089D"/>
    <w:rsid w:val="00A91157"/>
    <w:rsid w:val="00A92A73"/>
    <w:rsid w:val="00A93E22"/>
    <w:rsid w:val="00A94793"/>
    <w:rsid w:val="00A97FD3"/>
    <w:rsid w:val="00AA072A"/>
    <w:rsid w:val="00AA1B9F"/>
    <w:rsid w:val="00AA6A0D"/>
    <w:rsid w:val="00AA7B4A"/>
    <w:rsid w:val="00AB20FA"/>
    <w:rsid w:val="00AB237C"/>
    <w:rsid w:val="00AB5AD0"/>
    <w:rsid w:val="00AC00B5"/>
    <w:rsid w:val="00AC0AEA"/>
    <w:rsid w:val="00AC2C0F"/>
    <w:rsid w:val="00AC2D18"/>
    <w:rsid w:val="00AC3927"/>
    <w:rsid w:val="00AC3D81"/>
    <w:rsid w:val="00AC68CC"/>
    <w:rsid w:val="00AC6D04"/>
    <w:rsid w:val="00AD16CE"/>
    <w:rsid w:val="00AD3B4A"/>
    <w:rsid w:val="00AD6565"/>
    <w:rsid w:val="00AE179E"/>
    <w:rsid w:val="00AF0DFD"/>
    <w:rsid w:val="00AF16ED"/>
    <w:rsid w:val="00AF1B32"/>
    <w:rsid w:val="00AF2233"/>
    <w:rsid w:val="00AF2FA7"/>
    <w:rsid w:val="00AF477F"/>
    <w:rsid w:val="00AF47C3"/>
    <w:rsid w:val="00AF508B"/>
    <w:rsid w:val="00B06571"/>
    <w:rsid w:val="00B06638"/>
    <w:rsid w:val="00B06B96"/>
    <w:rsid w:val="00B1022E"/>
    <w:rsid w:val="00B11932"/>
    <w:rsid w:val="00B13697"/>
    <w:rsid w:val="00B13968"/>
    <w:rsid w:val="00B15B7A"/>
    <w:rsid w:val="00B202F8"/>
    <w:rsid w:val="00B24EAF"/>
    <w:rsid w:val="00B26309"/>
    <w:rsid w:val="00B31D03"/>
    <w:rsid w:val="00B31DF3"/>
    <w:rsid w:val="00B33646"/>
    <w:rsid w:val="00B34D9F"/>
    <w:rsid w:val="00B3708B"/>
    <w:rsid w:val="00B370DB"/>
    <w:rsid w:val="00B40920"/>
    <w:rsid w:val="00B423DF"/>
    <w:rsid w:val="00B43218"/>
    <w:rsid w:val="00B44B6F"/>
    <w:rsid w:val="00B47C41"/>
    <w:rsid w:val="00B53728"/>
    <w:rsid w:val="00B554FE"/>
    <w:rsid w:val="00B61671"/>
    <w:rsid w:val="00B61D22"/>
    <w:rsid w:val="00B62ABB"/>
    <w:rsid w:val="00B6350C"/>
    <w:rsid w:val="00B67654"/>
    <w:rsid w:val="00B70AB5"/>
    <w:rsid w:val="00B70D40"/>
    <w:rsid w:val="00B72609"/>
    <w:rsid w:val="00B73C4E"/>
    <w:rsid w:val="00B7406C"/>
    <w:rsid w:val="00B81653"/>
    <w:rsid w:val="00B81A40"/>
    <w:rsid w:val="00B81C80"/>
    <w:rsid w:val="00B82A15"/>
    <w:rsid w:val="00B844E0"/>
    <w:rsid w:val="00B864CC"/>
    <w:rsid w:val="00B87734"/>
    <w:rsid w:val="00B91485"/>
    <w:rsid w:val="00B923BE"/>
    <w:rsid w:val="00B95DEC"/>
    <w:rsid w:val="00B961F2"/>
    <w:rsid w:val="00BA0B89"/>
    <w:rsid w:val="00BA18DE"/>
    <w:rsid w:val="00BA1B0B"/>
    <w:rsid w:val="00BA3A16"/>
    <w:rsid w:val="00BA4FAD"/>
    <w:rsid w:val="00BA50DD"/>
    <w:rsid w:val="00BA66F8"/>
    <w:rsid w:val="00BA7610"/>
    <w:rsid w:val="00BB0B63"/>
    <w:rsid w:val="00BB57A7"/>
    <w:rsid w:val="00BB62F8"/>
    <w:rsid w:val="00BB6626"/>
    <w:rsid w:val="00BB6DAB"/>
    <w:rsid w:val="00BB71CD"/>
    <w:rsid w:val="00BB78DE"/>
    <w:rsid w:val="00BC03CD"/>
    <w:rsid w:val="00BC1279"/>
    <w:rsid w:val="00BC2E42"/>
    <w:rsid w:val="00BC4D4B"/>
    <w:rsid w:val="00BC5184"/>
    <w:rsid w:val="00BC64B1"/>
    <w:rsid w:val="00BC7883"/>
    <w:rsid w:val="00BD1F65"/>
    <w:rsid w:val="00BD3729"/>
    <w:rsid w:val="00BD44C7"/>
    <w:rsid w:val="00BD50DD"/>
    <w:rsid w:val="00BD7B4F"/>
    <w:rsid w:val="00BE21E2"/>
    <w:rsid w:val="00BF095F"/>
    <w:rsid w:val="00BF23B2"/>
    <w:rsid w:val="00BF2455"/>
    <w:rsid w:val="00BF3321"/>
    <w:rsid w:val="00BF47DD"/>
    <w:rsid w:val="00BF4B34"/>
    <w:rsid w:val="00BF5685"/>
    <w:rsid w:val="00BF61AD"/>
    <w:rsid w:val="00BF7063"/>
    <w:rsid w:val="00C00F75"/>
    <w:rsid w:val="00C10A27"/>
    <w:rsid w:val="00C112DD"/>
    <w:rsid w:val="00C117D2"/>
    <w:rsid w:val="00C14A60"/>
    <w:rsid w:val="00C20943"/>
    <w:rsid w:val="00C24043"/>
    <w:rsid w:val="00C2408B"/>
    <w:rsid w:val="00C24139"/>
    <w:rsid w:val="00C24E05"/>
    <w:rsid w:val="00C255AE"/>
    <w:rsid w:val="00C30B96"/>
    <w:rsid w:val="00C31A11"/>
    <w:rsid w:val="00C32E03"/>
    <w:rsid w:val="00C33309"/>
    <w:rsid w:val="00C35EF9"/>
    <w:rsid w:val="00C42E20"/>
    <w:rsid w:val="00C47347"/>
    <w:rsid w:val="00C5014A"/>
    <w:rsid w:val="00C50A3F"/>
    <w:rsid w:val="00C54B7D"/>
    <w:rsid w:val="00C55D98"/>
    <w:rsid w:val="00C56D13"/>
    <w:rsid w:val="00C579FE"/>
    <w:rsid w:val="00C61D4A"/>
    <w:rsid w:val="00C634FE"/>
    <w:rsid w:val="00C63AC2"/>
    <w:rsid w:val="00C645A8"/>
    <w:rsid w:val="00C72B57"/>
    <w:rsid w:val="00C73005"/>
    <w:rsid w:val="00C731BA"/>
    <w:rsid w:val="00C825E7"/>
    <w:rsid w:val="00C84C4C"/>
    <w:rsid w:val="00C85FE9"/>
    <w:rsid w:val="00C86D7E"/>
    <w:rsid w:val="00C92FEF"/>
    <w:rsid w:val="00C95934"/>
    <w:rsid w:val="00C95977"/>
    <w:rsid w:val="00C9662C"/>
    <w:rsid w:val="00C97983"/>
    <w:rsid w:val="00CA004E"/>
    <w:rsid w:val="00CA0513"/>
    <w:rsid w:val="00CA20C7"/>
    <w:rsid w:val="00CA446E"/>
    <w:rsid w:val="00CA5757"/>
    <w:rsid w:val="00CA59E2"/>
    <w:rsid w:val="00CA68B6"/>
    <w:rsid w:val="00CA7861"/>
    <w:rsid w:val="00CB1722"/>
    <w:rsid w:val="00CB1D68"/>
    <w:rsid w:val="00CB3B64"/>
    <w:rsid w:val="00CB4F93"/>
    <w:rsid w:val="00CC0A25"/>
    <w:rsid w:val="00CC149A"/>
    <w:rsid w:val="00CC3E95"/>
    <w:rsid w:val="00CC5400"/>
    <w:rsid w:val="00CC5E3B"/>
    <w:rsid w:val="00CC6478"/>
    <w:rsid w:val="00CC753A"/>
    <w:rsid w:val="00CD00BD"/>
    <w:rsid w:val="00CD29B7"/>
    <w:rsid w:val="00CD32F4"/>
    <w:rsid w:val="00CD3F4D"/>
    <w:rsid w:val="00CD4D6B"/>
    <w:rsid w:val="00CD6E69"/>
    <w:rsid w:val="00CD6FDE"/>
    <w:rsid w:val="00CD7A9A"/>
    <w:rsid w:val="00CD7D8E"/>
    <w:rsid w:val="00CE3186"/>
    <w:rsid w:val="00CE32FB"/>
    <w:rsid w:val="00CE4812"/>
    <w:rsid w:val="00CE496C"/>
    <w:rsid w:val="00CE6BFF"/>
    <w:rsid w:val="00CF007E"/>
    <w:rsid w:val="00CF3E8E"/>
    <w:rsid w:val="00CF4B57"/>
    <w:rsid w:val="00CF6D2D"/>
    <w:rsid w:val="00CF73BB"/>
    <w:rsid w:val="00D01470"/>
    <w:rsid w:val="00D01651"/>
    <w:rsid w:val="00D02A04"/>
    <w:rsid w:val="00D037F0"/>
    <w:rsid w:val="00D04DBE"/>
    <w:rsid w:val="00D052A3"/>
    <w:rsid w:val="00D1009C"/>
    <w:rsid w:val="00D10AD2"/>
    <w:rsid w:val="00D110E4"/>
    <w:rsid w:val="00D1134B"/>
    <w:rsid w:val="00D14881"/>
    <w:rsid w:val="00D15BE6"/>
    <w:rsid w:val="00D20D2B"/>
    <w:rsid w:val="00D21E85"/>
    <w:rsid w:val="00D229EE"/>
    <w:rsid w:val="00D23889"/>
    <w:rsid w:val="00D25D86"/>
    <w:rsid w:val="00D30CD1"/>
    <w:rsid w:val="00D339D8"/>
    <w:rsid w:val="00D40AEF"/>
    <w:rsid w:val="00D42C6D"/>
    <w:rsid w:val="00D43324"/>
    <w:rsid w:val="00D44ED2"/>
    <w:rsid w:val="00D451F6"/>
    <w:rsid w:val="00D53326"/>
    <w:rsid w:val="00D535A4"/>
    <w:rsid w:val="00D543B1"/>
    <w:rsid w:val="00D55130"/>
    <w:rsid w:val="00D569F0"/>
    <w:rsid w:val="00D602BA"/>
    <w:rsid w:val="00D61BBB"/>
    <w:rsid w:val="00D63E3C"/>
    <w:rsid w:val="00D707DD"/>
    <w:rsid w:val="00D725F8"/>
    <w:rsid w:val="00D7404D"/>
    <w:rsid w:val="00D75026"/>
    <w:rsid w:val="00D7521B"/>
    <w:rsid w:val="00D77162"/>
    <w:rsid w:val="00D80035"/>
    <w:rsid w:val="00D81591"/>
    <w:rsid w:val="00D81B81"/>
    <w:rsid w:val="00D827B9"/>
    <w:rsid w:val="00D83AFF"/>
    <w:rsid w:val="00D84DF4"/>
    <w:rsid w:val="00D87693"/>
    <w:rsid w:val="00D902DD"/>
    <w:rsid w:val="00D917E2"/>
    <w:rsid w:val="00D92508"/>
    <w:rsid w:val="00D9469A"/>
    <w:rsid w:val="00D965D7"/>
    <w:rsid w:val="00D971EB"/>
    <w:rsid w:val="00DA01BD"/>
    <w:rsid w:val="00DA04CD"/>
    <w:rsid w:val="00DA0D6B"/>
    <w:rsid w:val="00DA185F"/>
    <w:rsid w:val="00DA29FB"/>
    <w:rsid w:val="00DA473D"/>
    <w:rsid w:val="00DA5BA0"/>
    <w:rsid w:val="00DB0334"/>
    <w:rsid w:val="00DB12D8"/>
    <w:rsid w:val="00DB14B0"/>
    <w:rsid w:val="00DB4A72"/>
    <w:rsid w:val="00DB6175"/>
    <w:rsid w:val="00DB6ABD"/>
    <w:rsid w:val="00DC03DB"/>
    <w:rsid w:val="00DC2966"/>
    <w:rsid w:val="00DC55DA"/>
    <w:rsid w:val="00DC7195"/>
    <w:rsid w:val="00DC7396"/>
    <w:rsid w:val="00DD122C"/>
    <w:rsid w:val="00DD416A"/>
    <w:rsid w:val="00DD422B"/>
    <w:rsid w:val="00DD475A"/>
    <w:rsid w:val="00DE0D02"/>
    <w:rsid w:val="00DE0ED1"/>
    <w:rsid w:val="00DE3BCD"/>
    <w:rsid w:val="00DE6B4D"/>
    <w:rsid w:val="00DF3678"/>
    <w:rsid w:val="00DF3B2B"/>
    <w:rsid w:val="00DF3BB0"/>
    <w:rsid w:val="00DF4E1C"/>
    <w:rsid w:val="00DF5FE1"/>
    <w:rsid w:val="00E00D84"/>
    <w:rsid w:val="00E07446"/>
    <w:rsid w:val="00E07961"/>
    <w:rsid w:val="00E11D8A"/>
    <w:rsid w:val="00E12DF8"/>
    <w:rsid w:val="00E139BA"/>
    <w:rsid w:val="00E13ABB"/>
    <w:rsid w:val="00E159F2"/>
    <w:rsid w:val="00E20339"/>
    <w:rsid w:val="00E21B22"/>
    <w:rsid w:val="00E2251A"/>
    <w:rsid w:val="00E22E8F"/>
    <w:rsid w:val="00E2305B"/>
    <w:rsid w:val="00E23F1F"/>
    <w:rsid w:val="00E24D7D"/>
    <w:rsid w:val="00E2666B"/>
    <w:rsid w:val="00E2742E"/>
    <w:rsid w:val="00E27DD6"/>
    <w:rsid w:val="00E333B0"/>
    <w:rsid w:val="00E35D0B"/>
    <w:rsid w:val="00E3653B"/>
    <w:rsid w:val="00E44CCB"/>
    <w:rsid w:val="00E44CF5"/>
    <w:rsid w:val="00E44E27"/>
    <w:rsid w:val="00E44FDC"/>
    <w:rsid w:val="00E45302"/>
    <w:rsid w:val="00E45F1B"/>
    <w:rsid w:val="00E62EFC"/>
    <w:rsid w:val="00E64BB1"/>
    <w:rsid w:val="00E6695A"/>
    <w:rsid w:val="00E6769C"/>
    <w:rsid w:val="00E67EE0"/>
    <w:rsid w:val="00E73C0D"/>
    <w:rsid w:val="00E753CE"/>
    <w:rsid w:val="00E7551C"/>
    <w:rsid w:val="00E82CD7"/>
    <w:rsid w:val="00E82D81"/>
    <w:rsid w:val="00E90169"/>
    <w:rsid w:val="00E93291"/>
    <w:rsid w:val="00E94054"/>
    <w:rsid w:val="00E9430B"/>
    <w:rsid w:val="00EA2DDD"/>
    <w:rsid w:val="00EA441F"/>
    <w:rsid w:val="00EA491A"/>
    <w:rsid w:val="00EA6E4A"/>
    <w:rsid w:val="00EA7962"/>
    <w:rsid w:val="00EB2825"/>
    <w:rsid w:val="00EB3565"/>
    <w:rsid w:val="00EB48C8"/>
    <w:rsid w:val="00EB7CE5"/>
    <w:rsid w:val="00EC0C63"/>
    <w:rsid w:val="00EC24C5"/>
    <w:rsid w:val="00EC2823"/>
    <w:rsid w:val="00EC2A5F"/>
    <w:rsid w:val="00EC3795"/>
    <w:rsid w:val="00EC5C9F"/>
    <w:rsid w:val="00EC6C7E"/>
    <w:rsid w:val="00EC764A"/>
    <w:rsid w:val="00EC7988"/>
    <w:rsid w:val="00EC7A1E"/>
    <w:rsid w:val="00ED015C"/>
    <w:rsid w:val="00ED5800"/>
    <w:rsid w:val="00ED598F"/>
    <w:rsid w:val="00ED6DB9"/>
    <w:rsid w:val="00ED6F06"/>
    <w:rsid w:val="00EE02E1"/>
    <w:rsid w:val="00EE0EA4"/>
    <w:rsid w:val="00EE201A"/>
    <w:rsid w:val="00EE61D9"/>
    <w:rsid w:val="00EE7338"/>
    <w:rsid w:val="00EE74D1"/>
    <w:rsid w:val="00EF3501"/>
    <w:rsid w:val="00EF3554"/>
    <w:rsid w:val="00EF3C35"/>
    <w:rsid w:val="00EF6744"/>
    <w:rsid w:val="00F01F42"/>
    <w:rsid w:val="00F027E3"/>
    <w:rsid w:val="00F02908"/>
    <w:rsid w:val="00F03856"/>
    <w:rsid w:val="00F064F8"/>
    <w:rsid w:val="00F06666"/>
    <w:rsid w:val="00F11CEB"/>
    <w:rsid w:val="00F12186"/>
    <w:rsid w:val="00F135A6"/>
    <w:rsid w:val="00F139C4"/>
    <w:rsid w:val="00F15021"/>
    <w:rsid w:val="00F2043E"/>
    <w:rsid w:val="00F23A49"/>
    <w:rsid w:val="00F23A88"/>
    <w:rsid w:val="00F26B6B"/>
    <w:rsid w:val="00F2725F"/>
    <w:rsid w:val="00F27804"/>
    <w:rsid w:val="00F27DD3"/>
    <w:rsid w:val="00F30EF5"/>
    <w:rsid w:val="00F31B0E"/>
    <w:rsid w:val="00F36637"/>
    <w:rsid w:val="00F3675B"/>
    <w:rsid w:val="00F375AF"/>
    <w:rsid w:val="00F414BC"/>
    <w:rsid w:val="00F43A51"/>
    <w:rsid w:val="00F43D3B"/>
    <w:rsid w:val="00F50D7A"/>
    <w:rsid w:val="00F513D1"/>
    <w:rsid w:val="00F53202"/>
    <w:rsid w:val="00F56329"/>
    <w:rsid w:val="00F569B3"/>
    <w:rsid w:val="00F5744B"/>
    <w:rsid w:val="00F57476"/>
    <w:rsid w:val="00F57A4A"/>
    <w:rsid w:val="00F57A5D"/>
    <w:rsid w:val="00F62C59"/>
    <w:rsid w:val="00F62E9A"/>
    <w:rsid w:val="00F67FE1"/>
    <w:rsid w:val="00F7019F"/>
    <w:rsid w:val="00F7052F"/>
    <w:rsid w:val="00F719F9"/>
    <w:rsid w:val="00F71AEA"/>
    <w:rsid w:val="00F72980"/>
    <w:rsid w:val="00F75D7D"/>
    <w:rsid w:val="00F76BE4"/>
    <w:rsid w:val="00F8354A"/>
    <w:rsid w:val="00F838DA"/>
    <w:rsid w:val="00F87409"/>
    <w:rsid w:val="00F87DD8"/>
    <w:rsid w:val="00FA0A59"/>
    <w:rsid w:val="00FA2AA0"/>
    <w:rsid w:val="00FA2FC2"/>
    <w:rsid w:val="00FA394A"/>
    <w:rsid w:val="00FA4099"/>
    <w:rsid w:val="00FA721C"/>
    <w:rsid w:val="00FB5368"/>
    <w:rsid w:val="00FC054B"/>
    <w:rsid w:val="00FC1659"/>
    <w:rsid w:val="00FC1E76"/>
    <w:rsid w:val="00FC3590"/>
    <w:rsid w:val="00FC3EC3"/>
    <w:rsid w:val="00FC4328"/>
    <w:rsid w:val="00FC5F18"/>
    <w:rsid w:val="00FD0502"/>
    <w:rsid w:val="00FD2EF4"/>
    <w:rsid w:val="00FD4154"/>
    <w:rsid w:val="00FD4FFF"/>
    <w:rsid w:val="00FD6531"/>
    <w:rsid w:val="00FE2C39"/>
    <w:rsid w:val="00FE40DB"/>
    <w:rsid w:val="00FE7386"/>
    <w:rsid w:val="00FE7E4D"/>
    <w:rsid w:val="00FF02AE"/>
    <w:rsid w:val="00FF1935"/>
    <w:rsid w:val="00FF5E01"/>
    <w:rsid w:val="00FF6677"/>
    <w:rsid w:val="00FF7FF1"/>
    <w:rsid w:val="09451A08"/>
    <w:rsid w:val="1FBF827C"/>
    <w:rsid w:val="2FB72EAF"/>
    <w:rsid w:val="2FEFD766"/>
    <w:rsid w:val="37FB9FBC"/>
    <w:rsid w:val="3F92DDB7"/>
    <w:rsid w:val="46E03886"/>
    <w:rsid w:val="49A60BF4"/>
    <w:rsid w:val="52A7B600"/>
    <w:rsid w:val="55441D01"/>
    <w:rsid w:val="79E7746A"/>
    <w:rsid w:val="7FBFD0A1"/>
    <w:rsid w:val="9FFBE090"/>
    <w:rsid w:val="BAEE4F3A"/>
    <w:rsid w:val="CFB55FD6"/>
    <w:rsid w:val="CFFED540"/>
    <w:rsid w:val="DF6CFD15"/>
    <w:rsid w:val="DFBF4640"/>
    <w:rsid w:val="EE6FCFB4"/>
    <w:rsid w:val="EEFB7A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1"/>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43"/>
    <w:semiHidden/>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4">
    <w:name w:val="heading 3"/>
    <w:basedOn w:val="1"/>
    <w:next w:val="1"/>
    <w:link w:val="36"/>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widowControl/>
      <w:spacing w:after="100" w:line="276" w:lineRule="auto"/>
      <w:ind w:left="440"/>
      <w:jc w:val="left"/>
    </w:pPr>
    <w:rPr>
      <w:kern w:val="0"/>
      <w:sz w:val="22"/>
    </w:rPr>
  </w:style>
  <w:style w:type="paragraph" w:styleId="6">
    <w:name w:val="Balloon Text"/>
    <w:basedOn w:val="1"/>
    <w:link w:val="21"/>
    <w:qFormat/>
    <w:uiPriority w:val="0"/>
    <w:rPr>
      <w:sz w:val="18"/>
      <w:szCs w:val="18"/>
    </w:rPr>
  </w:style>
  <w:style w:type="paragraph" w:styleId="7">
    <w:name w:val="footer"/>
    <w:basedOn w:val="1"/>
    <w:link w:val="22"/>
    <w:qFormat/>
    <w:uiPriority w:val="0"/>
    <w:pPr>
      <w:tabs>
        <w:tab w:val="center" w:pos="4153"/>
        <w:tab w:val="right" w:pos="8306"/>
      </w:tabs>
      <w:snapToGrid w:val="0"/>
      <w:jc w:val="left"/>
    </w:pPr>
    <w:rPr>
      <w:sz w:val="18"/>
      <w:szCs w:val="18"/>
    </w:rPr>
  </w:style>
  <w:style w:type="paragraph" w:styleId="8">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after="100" w:line="276" w:lineRule="auto"/>
      <w:jc w:val="left"/>
    </w:pPr>
    <w:rPr>
      <w:kern w:val="0"/>
      <w:sz w:val="22"/>
    </w:rPr>
  </w:style>
  <w:style w:type="paragraph" w:styleId="10">
    <w:name w:val="toc 2"/>
    <w:basedOn w:val="1"/>
    <w:next w:val="1"/>
    <w:unhideWhenUsed/>
    <w:qFormat/>
    <w:uiPriority w:val="39"/>
    <w:pPr>
      <w:widowControl/>
      <w:spacing w:after="100" w:line="276" w:lineRule="auto"/>
      <w:ind w:left="220"/>
      <w:jc w:val="left"/>
    </w:pPr>
    <w:rPr>
      <w:kern w:val="0"/>
      <w:sz w:val="22"/>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next w:val="1"/>
    <w:link w:val="20"/>
    <w:qFormat/>
    <w:uiPriority w:val="0"/>
    <w:pPr>
      <w:spacing w:before="240" w:after="60"/>
      <w:jc w:val="center"/>
      <w:outlineLvl w:val="0"/>
    </w:pPr>
    <w:rPr>
      <w:rFonts w:ascii="Cambria" w:hAnsi="Cambria"/>
      <w:b/>
      <w:bCs/>
      <w:sz w:val="32"/>
      <w:szCs w:val="32"/>
    </w:rPr>
  </w:style>
  <w:style w:type="table" w:styleId="14">
    <w:name w:val="Table Grid"/>
    <w:basedOn w:val="13"/>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page number"/>
    <w:basedOn w:val="15"/>
    <w:qFormat/>
    <w:uiPriority w:val="0"/>
  </w:style>
  <w:style w:type="character" w:styleId="18">
    <w:name w:val="FollowedHyperlink"/>
    <w:basedOn w:val="15"/>
    <w:semiHidden/>
    <w:unhideWhenUsed/>
    <w:qFormat/>
    <w:uiPriority w:val="99"/>
    <w:rPr>
      <w:color w:val="800080" w:themeColor="followedHyperlink"/>
      <w:u w:val="single"/>
      <w14:textFill>
        <w14:solidFill>
          <w14:schemeClr w14:val="folHlink"/>
        </w14:solidFill>
      </w14:textFill>
    </w:rPr>
  </w:style>
  <w:style w:type="character" w:styleId="19">
    <w:name w:val="Hyperlink"/>
    <w:unhideWhenUsed/>
    <w:qFormat/>
    <w:uiPriority w:val="99"/>
    <w:rPr>
      <w:color w:val="0000FF"/>
      <w:u w:val="single"/>
    </w:rPr>
  </w:style>
  <w:style w:type="character" w:customStyle="1" w:styleId="20">
    <w:name w:val="标题 Char"/>
    <w:basedOn w:val="15"/>
    <w:link w:val="12"/>
    <w:qFormat/>
    <w:uiPriority w:val="0"/>
    <w:rPr>
      <w:rFonts w:ascii="Cambria" w:hAnsi="Cambria"/>
      <w:b/>
      <w:bCs/>
      <w:sz w:val="32"/>
      <w:szCs w:val="32"/>
    </w:rPr>
  </w:style>
  <w:style w:type="character" w:customStyle="1" w:styleId="21">
    <w:name w:val="批注框文本 Char"/>
    <w:basedOn w:val="15"/>
    <w:link w:val="6"/>
    <w:qFormat/>
    <w:uiPriority w:val="0"/>
    <w:rPr>
      <w:sz w:val="18"/>
      <w:szCs w:val="18"/>
    </w:rPr>
  </w:style>
  <w:style w:type="character" w:customStyle="1" w:styleId="22">
    <w:name w:val="页脚 Char"/>
    <w:link w:val="7"/>
    <w:qFormat/>
    <w:uiPriority w:val="0"/>
    <w:rPr>
      <w:sz w:val="18"/>
      <w:szCs w:val="18"/>
    </w:rPr>
  </w:style>
  <w:style w:type="character" w:customStyle="1" w:styleId="23">
    <w:name w:val="页眉 Char"/>
    <w:link w:val="8"/>
    <w:qFormat/>
    <w:uiPriority w:val="0"/>
    <w:rPr>
      <w:sz w:val="18"/>
      <w:szCs w:val="18"/>
    </w:rPr>
  </w:style>
  <w:style w:type="paragraph" w:customStyle="1" w:styleId="24">
    <w:name w:val="Char"/>
    <w:basedOn w:val="1"/>
    <w:qFormat/>
    <w:uiPriority w:val="0"/>
    <w:rPr>
      <w:rFonts w:ascii="Times New Roman" w:hAnsi="Times New Roman" w:eastAsia="宋体" w:cs="Times New Roman"/>
      <w:szCs w:val="24"/>
    </w:rPr>
  </w:style>
  <w:style w:type="character" w:customStyle="1" w:styleId="25">
    <w:name w:val="标题 Char1"/>
    <w:basedOn w:val="15"/>
    <w:qFormat/>
    <w:uiPriority w:val="10"/>
    <w:rPr>
      <w:rFonts w:eastAsia="宋体" w:asciiTheme="majorHAnsi" w:hAnsiTheme="majorHAnsi" w:cstheme="majorBidi"/>
      <w:b/>
      <w:bCs/>
      <w:sz w:val="32"/>
      <w:szCs w:val="32"/>
    </w:rPr>
  </w:style>
  <w:style w:type="character" w:customStyle="1" w:styleId="26">
    <w:name w:val="页眉 Char1"/>
    <w:basedOn w:val="15"/>
    <w:semiHidden/>
    <w:qFormat/>
    <w:uiPriority w:val="99"/>
    <w:rPr>
      <w:sz w:val="18"/>
      <w:szCs w:val="18"/>
    </w:rPr>
  </w:style>
  <w:style w:type="character" w:customStyle="1" w:styleId="27">
    <w:name w:val="页脚 Char1"/>
    <w:basedOn w:val="15"/>
    <w:semiHidden/>
    <w:qFormat/>
    <w:uiPriority w:val="99"/>
    <w:rPr>
      <w:sz w:val="18"/>
      <w:szCs w:val="18"/>
    </w:rPr>
  </w:style>
  <w:style w:type="character" w:customStyle="1" w:styleId="28">
    <w:name w:val="批注框文本 Char1"/>
    <w:basedOn w:val="15"/>
    <w:semiHidden/>
    <w:qFormat/>
    <w:uiPriority w:val="99"/>
    <w:rPr>
      <w:sz w:val="18"/>
      <w:szCs w:val="18"/>
    </w:rPr>
  </w:style>
  <w:style w:type="paragraph" w:styleId="29">
    <w:name w:val="List Paragraph"/>
    <w:basedOn w:val="1"/>
    <w:qFormat/>
    <w:uiPriority w:val="34"/>
    <w:pPr>
      <w:ind w:firstLine="420" w:firstLineChars="200"/>
    </w:pPr>
  </w:style>
  <w:style w:type="character" w:customStyle="1" w:styleId="30">
    <w:name w:val="15"/>
    <w:basedOn w:val="15"/>
    <w:qFormat/>
    <w:uiPriority w:val="0"/>
    <w:rPr>
      <w:rFonts w:hint="default" w:ascii="Times New Roman" w:hAnsi="Times New Roman" w:cs="Times New Roman"/>
      <w:b/>
      <w:bCs/>
    </w:rPr>
  </w:style>
  <w:style w:type="character" w:customStyle="1" w:styleId="31">
    <w:name w:val="apple-style-span"/>
    <w:basedOn w:val="15"/>
    <w:qFormat/>
    <w:uiPriority w:val="0"/>
  </w:style>
  <w:style w:type="character" w:customStyle="1" w:styleId="32">
    <w:name w:val="grame"/>
    <w:basedOn w:val="15"/>
    <w:qFormat/>
    <w:uiPriority w:val="0"/>
  </w:style>
  <w:style w:type="character" w:customStyle="1" w:styleId="33">
    <w:name w:val="ht1"/>
    <w:qFormat/>
    <w:uiPriority w:val="0"/>
    <w:rPr>
      <w:rFonts w:ascii="黑体" w:eastAsia="黑体"/>
      <w:b/>
      <w:bCs/>
    </w:rPr>
  </w:style>
  <w:style w:type="paragraph" w:customStyle="1" w:styleId="34">
    <w:name w:val="zw"/>
    <w:basedOn w:val="1"/>
    <w:qFormat/>
    <w:uiPriority w:val="0"/>
    <w:pPr>
      <w:widowControl/>
      <w:spacing w:before="30"/>
      <w:ind w:left="100" w:right="100"/>
    </w:pPr>
    <w:rPr>
      <w:rFonts w:ascii="方正书宋简体" w:hAnsi="方正书宋简体" w:eastAsia="方正书宋简体" w:cs="Times New Roman"/>
      <w:color w:val="000000"/>
      <w:kern w:val="0"/>
      <w:szCs w:val="21"/>
    </w:rPr>
  </w:style>
  <w:style w:type="paragraph" w:customStyle="1" w:styleId="35">
    <w:name w:val="_Style 28"/>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character" w:customStyle="1" w:styleId="36">
    <w:name w:val="标题 3 Char"/>
    <w:basedOn w:val="15"/>
    <w:link w:val="4"/>
    <w:semiHidden/>
    <w:qFormat/>
    <w:uiPriority w:val="0"/>
    <w:rPr>
      <w:rFonts w:ascii="宋体" w:hAnsi="宋体" w:eastAsia="宋体" w:cs="Times New Roman"/>
      <w:b/>
      <w:kern w:val="0"/>
      <w:sz w:val="27"/>
      <w:szCs w:val="27"/>
    </w:rPr>
  </w:style>
  <w:style w:type="character" w:customStyle="1" w:styleId="37">
    <w:name w:val="批注框文本 字符"/>
    <w:qFormat/>
    <w:uiPriority w:val="0"/>
    <w:rPr>
      <w:kern w:val="2"/>
      <w:sz w:val="18"/>
      <w:szCs w:val="18"/>
    </w:rPr>
  </w:style>
  <w:style w:type="character" w:customStyle="1" w:styleId="38">
    <w:name w:val="页脚 字符"/>
    <w:qFormat/>
    <w:uiPriority w:val="99"/>
    <w:rPr>
      <w:kern w:val="2"/>
      <w:sz w:val="18"/>
      <w:szCs w:val="18"/>
    </w:rPr>
  </w:style>
  <w:style w:type="character" w:customStyle="1" w:styleId="39">
    <w:name w:val="标题 字符"/>
    <w:qFormat/>
    <w:uiPriority w:val="0"/>
    <w:rPr>
      <w:rFonts w:ascii="Cambria" w:hAnsi="Cambria" w:cs="Times New Roman"/>
      <w:b/>
      <w:bCs/>
      <w:kern w:val="2"/>
      <w:sz w:val="32"/>
      <w:szCs w:val="32"/>
    </w:rPr>
  </w:style>
  <w:style w:type="character" w:customStyle="1" w:styleId="40">
    <w:name w:val="页眉 字符"/>
    <w:qFormat/>
    <w:uiPriority w:val="0"/>
    <w:rPr>
      <w:kern w:val="2"/>
      <w:sz w:val="18"/>
      <w:szCs w:val="18"/>
    </w:rPr>
  </w:style>
  <w:style w:type="character" w:customStyle="1" w:styleId="41">
    <w:name w:val="标题 1 Char"/>
    <w:basedOn w:val="15"/>
    <w:link w:val="2"/>
    <w:qFormat/>
    <w:uiPriority w:val="9"/>
    <w:rPr>
      <w:b/>
      <w:bCs/>
      <w:kern w:val="44"/>
      <w:sz w:val="44"/>
      <w:szCs w:val="44"/>
    </w:rPr>
  </w:style>
  <w:style w:type="paragraph" w:customStyle="1" w:styleId="42">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3">
    <w:name w:val="标题 2 Char"/>
    <w:basedOn w:val="15"/>
    <w:link w:val="3"/>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46760</Words>
  <Characters>266536</Characters>
  <Lines>2221</Lines>
  <Paragraphs>625</Paragraphs>
  <TotalTime>3</TotalTime>
  <ScaleCrop>false</ScaleCrop>
  <LinksUpToDate>false</LinksUpToDate>
  <CharactersWithSpaces>312671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2020-12-31T01:51:00Z</dcterms:created>
  <dc:creator>Ma</dc:creator>
  <cp:lastModifiedBy>administrator</cp:lastModifiedBy>
  <cp:lastPrinted>2020-12-23T00:53:00Z</cp:lastPrinted>
  <dcterms:modified xsi:type="dcterms:W3CDTF">2022-04-15T16:17:17Z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